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5D3" w:rsidRPr="005B1BF3" w:rsidRDefault="006E25D3" w:rsidP="005B1BF3">
      <w:pPr>
        <w:spacing w:after="0"/>
        <w:jc w:val="center"/>
        <w:rPr>
          <w:b/>
          <w:sz w:val="32"/>
          <w:szCs w:val="32"/>
        </w:rPr>
      </w:pPr>
      <w:bookmarkStart w:id="0" w:name="_GoBack"/>
      <w:bookmarkEnd w:id="0"/>
      <w:r w:rsidRPr="005B1BF3">
        <w:rPr>
          <w:b/>
          <w:sz w:val="32"/>
          <w:szCs w:val="32"/>
        </w:rPr>
        <w:t>Introduction</w:t>
      </w:r>
    </w:p>
    <w:p w:rsidR="007D1D91" w:rsidRPr="006E25D3" w:rsidRDefault="007D1D91" w:rsidP="007D1D91">
      <w:pPr>
        <w:spacing w:after="0"/>
        <w:rPr>
          <w:b/>
          <w:sz w:val="24"/>
          <w:szCs w:val="24"/>
          <w:u w:val="single"/>
        </w:rPr>
      </w:pPr>
    </w:p>
    <w:p w:rsidR="006E25D3" w:rsidRPr="005B1BF3" w:rsidRDefault="006E25D3" w:rsidP="005B1BF3">
      <w:pPr>
        <w:spacing w:after="0"/>
        <w:ind w:left="720"/>
        <w:rPr>
          <w:i/>
          <w:sz w:val="24"/>
          <w:szCs w:val="24"/>
        </w:rPr>
      </w:pPr>
      <w:r w:rsidRPr="005B1BF3">
        <w:rPr>
          <w:i/>
          <w:sz w:val="24"/>
          <w:szCs w:val="24"/>
        </w:rPr>
        <w:t>“The Northeast Ohio Region is formed by the natural identity of the industrial Great Lakes, along Lake Erie. Its framework is seven revitalizing cities – Cleveland, Akron, Canton, Youngstown, Lorain, Ashtabula, Warren - known for innovation, persistence and a unique sense of place – set in three great river corridors, the Cuyahoga, Black-Rocky, and Mahoning. Within that framework are multiple smaller cities, villages, townships, agricultural land, and a river network that make up twelve counties – diverse, energetic, determined to transform manufacturing, health, community and environmental strengths into a strong, sustainable foundation for the future. We envision a “Green City on a Blue Lake”. The Application Consortium looks forward with energy and enthusiasm to participating in the Sustainable Communities Planning Grant opportunity.”</w:t>
      </w:r>
    </w:p>
    <w:p w:rsidR="007D1D91" w:rsidRPr="005B1BF3" w:rsidRDefault="007D1D91" w:rsidP="005B1BF3">
      <w:pPr>
        <w:ind w:left="720"/>
        <w:rPr>
          <w:i/>
          <w:sz w:val="24"/>
          <w:szCs w:val="24"/>
        </w:rPr>
      </w:pPr>
    </w:p>
    <w:p w:rsidR="006E25D3" w:rsidRPr="005B1BF3" w:rsidRDefault="006E25D3" w:rsidP="006E25D3">
      <w:pPr>
        <w:rPr>
          <w:sz w:val="24"/>
          <w:szCs w:val="24"/>
        </w:rPr>
      </w:pPr>
      <w:r w:rsidRPr="005B1BF3">
        <w:rPr>
          <w:sz w:val="24"/>
          <w:szCs w:val="24"/>
        </w:rPr>
        <w:t xml:space="preserve">With these words, the Northeast Ohio </w:t>
      </w:r>
      <w:r w:rsidR="00CB2B68">
        <w:rPr>
          <w:sz w:val="24"/>
          <w:szCs w:val="24"/>
        </w:rPr>
        <w:t xml:space="preserve">Consortium for a Regional Plan for Sustainable Development (the “Application Consortium”) </w:t>
      </w:r>
      <w:r w:rsidRPr="005B1BF3">
        <w:rPr>
          <w:sz w:val="24"/>
          <w:szCs w:val="24"/>
        </w:rPr>
        <w:t>opened its original proposal to the Department of Housing and Urban Development.  The proposal went on to develop the link between economic prosperity, environmental quality, and equity – and their foundation in quality of place.  In order to become a sustainable, prosperous region that is competitive in the global arena,</w:t>
      </w:r>
      <w:r w:rsidR="00B15FBA">
        <w:rPr>
          <w:sz w:val="24"/>
          <w:szCs w:val="24"/>
        </w:rPr>
        <w:t xml:space="preserve"> Northeast Ohio needs </w:t>
      </w:r>
      <w:r w:rsidRPr="005B1BF3">
        <w:rPr>
          <w:sz w:val="24"/>
          <w:szCs w:val="24"/>
        </w:rPr>
        <w:t xml:space="preserve">to have a strong regional identity; vibrant civic places; a high quality of life and natural environment; and a natural and agricultural resource base that can sustain business and life into the future.  All of these characteristics are critical to attract and retain quality leaders, entrepreneurs, workers, families, and businesses.  And all of them are central to the idea of a Northeast Ohio region that is Vibrant, Resilient, and Sustainable.  </w:t>
      </w:r>
    </w:p>
    <w:p w:rsidR="0070294D" w:rsidRPr="005B1BF3" w:rsidRDefault="006E25D3">
      <w:pPr>
        <w:rPr>
          <w:sz w:val="24"/>
          <w:szCs w:val="24"/>
        </w:rPr>
      </w:pPr>
      <w:r w:rsidRPr="005B1BF3">
        <w:rPr>
          <w:sz w:val="24"/>
          <w:szCs w:val="24"/>
        </w:rPr>
        <w:t>The Application Consortium’s proposal went on to describe how the usually contentious communities of Northeast Ohio would voluntarily collaborate to produce a regional plan that wove together their disparate communities while also meeting the extensive requirements of the . The Application Consortium committed, if selected, to tr</w:t>
      </w:r>
      <w:r w:rsidR="0070294D" w:rsidRPr="005B1BF3">
        <w:rPr>
          <w:sz w:val="24"/>
          <w:szCs w:val="24"/>
        </w:rPr>
        <w:t>ansform itself into a legal, free-standing non-profit corporation, hire professional staff and engage the region’s</w:t>
      </w:r>
      <w:r w:rsidR="00B15FBA">
        <w:rPr>
          <w:sz w:val="24"/>
          <w:szCs w:val="24"/>
        </w:rPr>
        <w:t xml:space="preserve"> subject matter experts—both la</w:t>
      </w:r>
      <w:r w:rsidR="0070294D" w:rsidRPr="005B1BF3">
        <w:rPr>
          <w:sz w:val="24"/>
          <w:szCs w:val="24"/>
        </w:rPr>
        <w:t xml:space="preserve">y and academic—in assessing the region’s assets, identifying its shared challenges, and identifying practical interventions that would contribute to making the region a more attractive for both local residents and those the region seeks to attract. </w:t>
      </w:r>
    </w:p>
    <w:p w:rsidR="008233E5" w:rsidRDefault="0070294D">
      <w:pPr>
        <w:rPr>
          <w:sz w:val="24"/>
          <w:szCs w:val="24"/>
        </w:rPr>
      </w:pPr>
      <w:r w:rsidRPr="005B1BF3">
        <w:rPr>
          <w:sz w:val="24"/>
          <w:szCs w:val="24"/>
        </w:rPr>
        <w:t>This is the story of how it happened—how a newly-established civic consortium came together (and stayed together) in Akron, Ohio and reasoned toge</w:t>
      </w:r>
      <w:r w:rsidR="00C97ACF" w:rsidRPr="005B1BF3">
        <w:rPr>
          <w:sz w:val="24"/>
          <w:szCs w:val="24"/>
        </w:rPr>
        <w:t xml:space="preserve">ther to produce a robust, innovative and , detailed regional vision and framework for Northeast Ohio’s future. </w:t>
      </w:r>
    </w:p>
    <w:p w:rsidR="008233E5" w:rsidRDefault="008233E5">
      <w:pPr>
        <w:rPr>
          <w:sz w:val="24"/>
          <w:szCs w:val="24"/>
        </w:rPr>
      </w:pPr>
      <w:r>
        <w:rPr>
          <w:sz w:val="24"/>
          <w:szCs w:val="24"/>
        </w:rPr>
        <w:br w:type="page"/>
      </w:r>
    </w:p>
    <w:p w:rsidR="008233E5" w:rsidRDefault="008233E5" w:rsidP="008233E5">
      <w:pPr>
        <w:spacing w:after="0"/>
        <w:jc w:val="center"/>
        <w:rPr>
          <w:b/>
          <w:sz w:val="32"/>
          <w:szCs w:val="32"/>
        </w:rPr>
      </w:pPr>
      <w:r>
        <w:rPr>
          <w:b/>
          <w:sz w:val="32"/>
          <w:szCs w:val="32"/>
        </w:rPr>
        <w:lastRenderedPageBreak/>
        <w:t xml:space="preserve">Year 0.2010: Application for Sustainable Communities </w:t>
      </w:r>
    </w:p>
    <w:p w:rsidR="0070294D" w:rsidRDefault="008233E5" w:rsidP="008233E5">
      <w:pPr>
        <w:jc w:val="center"/>
        <w:rPr>
          <w:b/>
          <w:sz w:val="32"/>
          <w:szCs w:val="32"/>
        </w:rPr>
      </w:pPr>
      <w:r>
        <w:rPr>
          <w:b/>
          <w:sz w:val="32"/>
          <w:szCs w:val="32"/>
        </w:rPr>
        <w:t>Regional Planning Grant</w:t>
      </w:r>
    </w:p>
    <w:p w:rsidR="00B15FBA" w:rsidRDefault="00B15FBA" w:rsidP="00B15FBA">
      <w:pPr>
        <w:spacing w:after="0"/>
        <w:jc w:val="center"/>
        <w:rPr>
          <w:b/>
          <w:sz w:val="32"/>
          <w:szCs w:val="32"/>
        </w:rPr>
      </w:pPr>
    </w:p>
    <w:p w:rsidR="008233E5" w:rsidRDefault="008233E5" w:rsidP="008233E5">
      <w:pPr>
        <w:rPr>
          <w:sz w:val="24"/>
          <w:szCs w:val="24"/>
        </w:rPr>
      </w:pPr>
      <w:r>
        <w:rPr>
          <w:sz w:val="24"/>
          <w:szCs w:val="24"/>
        </w:rPr>
        <w:t xml:space="preserve">The story of </w:t>
      </w:r>
      <w:r w:rsidRPr="00CB2B68">
        <w:rPr>
          <w:i/>
          <w:sz w:val="24"/>
          <w:szCs w:val="24"/>
        </w:rPr>
        <w:t>VibrantNEO 2040</w:t>
      </w:r>
      <w:r>
        <w:rPr>
          <w:sz w:val="24"/>
          <w:szCs w:val="24"/>
        </w:rPr>
        <w:t xml:space="preserve"> began in 2010 when a group of local governments, metropolitan intergovernmental organizations, universities, non-profit organizations and local philanthropies agreed to collaborate to apply for a Category 1 Sustainable Communities Regional Planning Grant. The group coalesced as the Application Consortium and </w:t>
      </w:r>
      <w:r w:rsidR="00B15FBA">
        <w:rPr>
          <w:sz w:val="24"/>
          <w:szCs w:val="24"/>
        </w:rPr>
        <w:t xml:space="preserve">agreed to collaborate </w:t>
      </w:r>
      <w:r>
        <w:rPr>
          <w:sz w:val="24"/>
          <w:szCs w:val="24"/>
        </w:rPr>
        <w:t xml:space="preserve">for the purpose of preparing a sustainable development plan for the 12-county Northeast Ohio region. The Application Consortium anticipated that, as a </w:t>
      </w:r>
      <w:r w:rsidR="00B15FBA">
        <w:rPr>
          <w:sz w:val="24"/>
          <w:szCs w:val="24"/>
        </w:rPr>
        <w:t>results of their collaboration,</w:t>
      </w:r>
      <w:r>
        <w:rPr>
          <w:sz w:val="24"/>
          <w:szCs w:val="24"/>
        </w:rPr>
        <w:t xml:space="preserve"> they would achieve the following tangible outcomes: concrete </w:t>
      </w:r>
      <w:r w:rsidR="00CB2B68">
        <w:rPr>
          <w:sz w:val="24"/>
          <w:szCs w:val="24"/>
        </w:rPr>
        <w:t>plans</w:t>
      </w:r>
      <w:r>
        <w:rPr>
          <w:sz w:val="24"/>
          <w:szCs w:val="24"/>
        </w:rPr>
        <w:t xml:space="preserve"> for truly regional issues; shared priorities to guide local action; formal share</w:t>
      </w:r>
      <w:r w:rsidR="00B15FBA">
        <w:rPr>
          <w:sz w:val="24"/>
          <w:szCs w:val="24"/>
        </w:rPr>
        <w:t>d</w:t>
      </w:r>
      <w:r>
        <w:rPr>
          <w:sz w:val="24"/>
          <w:szCs w:val="24"/>
        </w:rPr>
        <w:t xml:space="preserve"> strategies and processes to enhance local planning, and a set of shared tools to support ongoing planning efforts. </w:t>
      </w:r>
    </w:p>
    <w:p w:rsidR="00947662" w:rsidRDefault="00947662" w:rsidP="008233E5">
      <w:pPr>
        <w:rPr>
          <w:sz w:val="24"/>
          <w:szCs w:val="24"/>
        </w:rPr>
      </w:pPr>
      <w:r>
        <w:rPr>
          <w:sz w:val="24"/>
          <w:szCs w:val="24"/>
        </w:rPr>
        <w:t xml:space="preserve">The Application Consortium was encouraged to convene and collaborate by the Fund For Our Economic Future, a regional consortium of Northeast Ohio philanthropies, colleges and universities. The Fund provided the </w:t>
      </w:r>
      <w:r w:rsidR="00CB2B68">
        <w:rPr>
          <w:sz w:val="24"/>
          <w:szCs w:val="24"/>
        </w:rPr>
        <w:t>funding</w:t>
      </w:r>
      <w:r>
        <w:rPr>
          <w:sz w:val="24"/>
          <w:szCs w:val="24"/>
        </w:rPr>
        <w:t xml:space="preserve"> and support to enable the Application Consortium to convene and develop its proposal for a </w:t>
      </w:r>
      <w:r w:rsidR="00B15FBA">
        <w:rPr>
          <w:sz w:val="24"/>
          <w:szCs w:val="24"/>
        </w:rPr>
        <w:t xml:space="preserve">Category 1 </w:t>
      </w:r>
      <w:r>
        <w:rPr>
          <w:sz w:val="24"/>
          <w:szCs w:val="24"/>
        </w:rPr>
        <w:t xml:space="preserve">Sustainable Communities grant. The Application Consortium was comprised of 21 members, including the region’s four Metropolitan Planning Agencies (MPOs), six of the 12 counties, five of the largest cities, three metropolitan housing authorities, the Fund, the Regional Prosperity Initiative, and Cleveland State University. </w:t>
      </w:r>
    </w:p>
    <w:p w:rsidR="008233E5" w:rsidRDefault="00947662" w:rsidP="008233E5">
      <w:pPr>
        <w:rPr>
          <w:sz w:val="24"/>
          <w:szCs w:val="24"/>
        </w:rPr>
      </w:pPr>
      <w:r>
        <w:rPr>
          <w:sz w:val="24"/>
          <w:szCs w:val="24"/>
        </w:rPr>
        <w:t xml:space="preserve">This unprecedented collaboration of Northeast Ohio institutions acknowledged that no single organization was equipped to manage a effort of this scale and ambition and devised a strategy for moving forward. The Application Consortium agreed to establish a new, independent initiative with a formal, truly collaborative governance structure and a small but dedicated operating structure. The Application Consortium proposed that this new organization be governed by a board elected by the Application Consortium and that this new board would select and oversee the full time staff in a free-standing “Project Management Office.” </w:t>
      </w:r>
      <w:r w:rsidR="00CB2B68">
        <w:rPr>
          <w:sz w:val="24"/>
          <w:szCs w:val="24"/>
        </w:rPr>
        <w:t xml:space="preserve"> The region’s largest MPO, the Northeast Ohio Areawide Coordinating Agency (NOACA) agreed to serve as Lead Applicant and Fiscal Agent for the Sustainable Communities grant. </w:t>
      </w:r>
    </w:p>
    <w:p w:rsidR="00782734" w:rsidRPr="005B1BF3" w:rsidRDefault="00CB2B68">
      <w:pPr>
        <w:rPr>
          <w:sz w:val="24"/>
          <w:szCs w:val="24"/>
        </w:rPr>
      </w:pPr>
      <w:r>
        <w:rPr>
          <w:sz w:val="24"/>
          <w:szCs w:val="24"/>
        </w:rPr>
        <w:t xml:space="preserve">The Application Consortium’s 21 members entered into a Memorandum of Understanding (“MOU”) wherein they agreed to establish a Leadership Committee that would serve as the new organization’s initial Board of Trustees; expand the board membership to address issues of inclusion; incorporate as an Ohio corporation; apply for status as a 501(c)3; and hiring staff and consultants. Thus was born the Northeast Ohio Sustainable Communities Consortium ( the “Consortium”). </w:t>
      </w:r>
    </w:p>
    <w:p w:rsidR="00990784" w:rsidRDefault="00990784" w:rsidP="005B1BF3">
      <w:pPr>
        <w:spacing w:after="0"/>
        <w:jc w:val="center"/>
        <w:rPr>
          <w:b/>
          <w:sz w:val="32"/>
          <w:szCs w:val="32"/>
        </w:rPr>
      </w:pPr>
      <w:r w:rsidRPr="005B1BF3">
        <w:rPr>
          <w:b/>
          <w:sz w:val="32"/>
          <w:szCs w:val="32"/>
        </w:rPr>
        <w:lastRenderedPageBreak/>
        <w:t>Year 1</w:t>
      </w:r>
      <w:r w:rsidR="00AD517F" w:rsidRPr="005B1BF3">
        <w:rPr>
          <w:b/>
          <w:sz w:val="32"/>
          <w:szCs w:val="32"/>
        </w:rPr>
        <w:t>/2011</w:t>
      </w:r>
      <w:r w:rsidRPr="005B1BF3">
        <w:rPr>
          <w:b/>
          <w:sz w:val="32"/>
          <w:szCs w:val="32"/>
        </w:rPr>
        <w:t>:</w:t>
      </w:r>
      <w:r w:rsidR="00FA29E1" w:rsidRPr="005B1BF3">
        <w:rPr>
          <w:b/>
          <w:sz w:val="32"/>
          <w:szCs w:val="32"/>
        </w:rPr>
        <w:t xml:space="preserve"> Organization and Mobilization</w:t>
      </w:r>
    </w:p>
    <w:p w:rsidR="005B1BF3" w:rsidRPr="005B1BF3" w:rsidRDefault="005B1BF3" w:rsidP="005B1BF3">
      <w:pPr>
        <w:spacing w:after="0"/>
        <w:jc w:val="center"/>
        <w:rPr>
          <w:b/>
          <w:sz w:val="32"/>
          <w:szCs w:val="32"/>
        </w:rPr>
      </w:pPr>
    </w:p>
    <w:p w:rsidR="008B0D19" w:rsidRPr="005B1BF3" w:rsidRDefault="00FA29E1">
      <w:pPr>
        <w:rPr>
          <w:sz w:val="24"/>
          <w:szCs w:val="24"/>
        </w:rPr>
      </w:pPr>
      <w:r w:rsidRPr="005B1BF3">
        <w:rPr>
          <w:sz w:val="24"/>
          <w:szCs w:val="24"/>
        </w:rPr>
        <w:t xml:space="preserve">In February, 2011, NOACA, as formal grant recipient and fiscal agent for the Consortium, entered into formal agreements with HUD and the Fund for Our Economic Future </w:t>
      </w:r>
      <w:r w:rsidR="00573429" w:rsidRPr="005B1BF3">
        <w:rPr>
          <w:sz w:val="24"/>
          <w:szCs w:val="24"/>
        </w:rPr>
        <w:t xml:space="preserve">(the Fund) </w:t>
      </w:r>
      <w:r w:rsidRPr="005B1BF3">
        <w:rPr>
          <w:sz w:val="24"/>
          <w:szCs w:val="24"/>
        </w:rPr>
        <w:t xml:space="preserve">to receive and expend funds necessary to produce a regional </w:t>
      </w:r>
      <w:r w:rsidR="00961323" w:rsidRPr="005B1BF3">
        <w:rPr>
          <w:sz w:val="24"/>
          <w:szCs w:val="24"/>
        </w:rPr>
        <w:t xml:space="preserve">sustainability </w:t>
      </w:r>
      <w:r w:rsidRPr="005B1BF3">
        <w:rPr>
          <w:sz w:val="24"/>
          <w:szCs w:val="24"/>
        </w:rPr>
        <w:t xml:space="preserve">framework plan for Northeast Ohio.  NOACA provided in-kind staff support. </w:t>
      </w:r>
    </w:p>
    <w:p w:rsidR="008B0D19" w:rsidRPr="005B1BF3" w:rsidRDefault="008B0D19" w:rsidP="008B0D19">
      <w:pPr>
        <w:jc w:val="center"/>
        <w:rPr>
          <w:b/>
          <w:sz w:val="24"/>
          <w:szCs w:val="24"/>
        </w:rPr>
      </w:pPr>
      <w:r w:rsidRPr="005B1BF3">
        <w:rPr>
          <w:b/>
          <w:sz w:val="24"/>
          <w:szCs w:val="24"/>
        </w:rPr>
        <w:t>First Half, 2011</w:t>
      </w:r>
    </w:p>
    <w:p w:rsidR="00FA29E1" w:rsidRPr="005B1BF3" w:rsidRDefault="00FA29E1">
      <w:pPr>
        <w:rPr>
          <w:sz w:val="24"/>
          <w:szCs w:val="24"/>
        </w:rPr>
      </w:pPr>
      <w:r w:rsidRPr="005B1BF3">
        <w:rPr>
          <w:sz w:val="24"/>
          <w:szCs w:val="24"/>
        </w:rPr>
        <w:t>During th</w:t>
      </w:r>
      <w:r w:rsidR="008B0D19" w:rsidRPr="005B1BF3">
        <w:rPr>
          <w:sz w:val="24"/>
          <w:szCs w:val="24"/>
        </w:rPr>
        <w:t xml:space="preserve">is period, </w:t>
      </w:r>
      <w:r w:rsidRPr="005B1BF3">
        <w:rPr>
          <w:sz w:val="24"/>
          <w:szCs w:val="24"/>
        </w:rPr>
        <w:t xml:space="preserve">NOACA provided in-kind staff to the new organization as the Consortium began the process of building as staffed organization to develop Northeast Ohio’s sustainable regional plan. </w:t>
      </w:r>
    </w:p>
    <w:p w:rsidR="00961323" w:rsidRPr="005B1BF3" w:rsidRDefault="00FA29E1">
      <w:pPr>
        <w:rPr>
          <w:sz w:val="24"/>
          <w:szCs w:val="24"/>
        </w:rPr>
      </w:pPr>
      <w:r w:rsidRPr="005B1BF3">
        <w:rPr>
          <w:sz w:val="24"/>
          <w:szCs w:val="24"/>
        </w:rPr>
        <w:t xml:space="preserve">The Consortium </w:t>
      </w:r>
      <w:r w:rsidR="00152125" w:rsidRPr="005B1BF3">
        <w:rPr>
          <w:sz w:val="24"/>
          <w:szCs w:val="24"/>
        </w:rPr>
        <w:t xml:space="preserve">members focused their efforts on hiring a new Executive Director to lead the effort and transitioning the organization from a voluntary </w:t>
      </w:r>
      <w:r w:rsidR="006E25D3" w:rsidRPr="005B1BF3">
        <w:rPr>
          <w:sz w:val="24"/>
          <w:szCs w:val="24"/>
        </w:rPr>
        <w:t xml:space="preserve">“Application Consortium” made up </w:t>
      </w:r>
      <w:r w:rsidR="00152125" w:rsidRPr="005B1BF3">
        <w:rPr>
          <w:sz w:val="24"/>
          <w:szCs w:val="24"/>
        </w:rPr>
        <w:t>of public, private</w:t>
      </w:r>
      <w:r w:rsidR="006E25D3" w:rsidRPr="005B1BF3">
        <w:rPr>
          <w:sz w:val="24"/>
          <w:szCs w:val="24"/>
        </w:rPr>
        <w:t xml:space="preserve">, educational, </w:t>
      </w:r>
      <w:r w:rsidR="00152125" w:rsidRPr="005B1BF3">
        <w:rPr>
          <w:sz w:val="24"/>
          <w:szCs w:val="24"/>
        </w:rPr>
        <w:t xml:space="preserve"> and non-governmental organizations that shared a deep concern for the long-term sustainability of Northeast Ohio</w:t>
      </w:r>
      <w:r w:rsidR="006E25D3" w:rsidRPr="005B1BF3">
        <w:rPr>
          <w:sz w:val="24"/>
          <w:szCs w:val="24"/>
        </w:rPr>
        <w:t xml:space="preserve"> into </w:t>
      </w:r>
      <w:r w:rsidR="00961323" w:rsidRPr="005B1BF3">
        <w:rPr>
          <w:sz w:val="24"/>
          <w:szCs w:val="24"/>
        </w:rPr>
        <w:t>a functioning non-profit corporation with the staff and budget necessary to produce the framework plan</w:t>
      </w:r>
      <w:r w:rsidR="00152125" w:rsidRPr="005B1BF3">
        <w:rPr>
          <w:sz w:val="24"/>
          <w:szCs w:val="24"/>
        </w:rPr>
        <w:t xml:space="preserve">. </w:t>
      </w:r>
    </w:p>
    <w:p w:rsidR="00F22756" w:rsidRPr="005B1BF3" w:rsidRDefault="00152125">
      <w:pPr>
        <w:rPr>
          <w:sz w:val="24"/>
          <w:szCs w:val="24"/>
        </w:rPr>
      </w:pPr>
      <w:r w:rsidRPr="005B1BF3">
        <w:rPr>
          <w:sz w:val="24"/>
          <w:szCs w:val="24"/>
        </w:rPr>
        <w:t xml:space="preserve">After an extensive search, the Consortium’s first Executive Director was named and a start-date of July 1, 2011 was agreed to. </w:t>
      </w:r>
      <w:r w:rsidR="00573429" w:rsidRPr="005B1BF3">
        <w:rPr>
          <w:sz w:val="24"/>
          <w:szCs w:val="24"/>
        </w:rPr>
        <w:t xml:space="preserve"> Consortium members, action on behalf of the group, prepared and filed incorporation documents with the State of Ohio and developed the organization’s Code of Regulations. </w:t>
      </w:r>
    </w:p>
    <w:p w:rsidR="00152125" w:rsidRPr="005B1BF3" w:rsidRDefault="00573429" w:rsidP="005B1BF3">
      <w:pPr>
        <w:spacing w:after="0"/>
        <w:rPr>
          <w:sz w:val="24"/>
          <w:szCs w:val="24"/>
        </w:rPr>
      </w:pPr>
      <w:r w:rsidRPr="005B1BF3">
        <w:rPr>
          <w:sz w:val="24"/>
          <w:szCs w:val="24"/>
        </w:rPr>
        <w:t xml:space="preserve">Members </w:t>
      </w:r>
      <w:r w:rsidR="00152125" w:rsidRPr="005B1BF3">
        <w:rPr>
          <w:sz w:val="24"/>
          <w:szCs w:val="24"/>
        </w:rPr>
        <w:t>collaborated to produce the required formal Work Program</w:t>
      </w:r>
      <w:r w:rsidRPr="005B1BF3">
        <w:rPr>
          <w:sz w:val="24"/>
          <w:szCs w:val="24"/>
        </w:rPr>
        <w:t xml:space="preserve"> and GANTT chart, drawing on their experience with the management of large, complex regional planning efforts. </w:t>
      </w:r>
      <w:r w:rsidR="00F22756" w:rsidRPr="005B1BF3">
        <w:rPr>
          <w:sz w:val="24"/>
          <w:szCs w:val="24"/>
        </w:rPr>
        <w:t xml:space="preserve">These documents were completed and adopted by the Consortium’s Board of Directors in April, 2011 and subsequently submitted to HUD in fulfillment of that grantee requirement. </w:t>
      </w:r>
    </w:p>
    <w:p w:rsidR="005B1BF3" w:rsidRDefault="005B1BF3" w:rsidP="008B0D19">
      <w:pPr>
        <w:jc w:val="center"/>
        <w:rPr>
          <w:b/>
          <w:sz w:val="24"/>
          <w:szCs w:val="24"/>
        </w:rPr>
      </w:pPr>
    </w:p>
    <w:p w:rsidR="008B0D19" w:rsidRPr="005B1BF3" w:rsidRDefault="008B0D19" w:rsidP="008B0D19">
      <w:pPr>
        <w:jc w:val="center"/>
        <w:rPr>
          <w:b/>
          <w:sz w:val="24"/>
          <w:szCs w:val="24"/>
        </w:rPr>
      </w:pPr>
      <w:r w:rsidRPr="005B1BF3">
        <w:rPr>
          <w:b/>
          <w:sz w:val="24"/>
          <w:szCs w:val="24"/>
        </w:rPr>
        <w:t>Second Half, 2011</w:t>
      </w:r>
    </w:p>
    <w:p w:rsidR="00F22756" w:rsidRPr="005B1BF3" w:rsidRDefault="00573429" w:rsidP="007E4D0A">
      <w:pPr>
        <w:rPr>
          <w:sz w:val="24"/>
          <w:szCs w:val="24"/>
        </w:rPr>
      </w:pPr>
      <w:r w:rsidRPr="005B1BF3">
        <w:rPr>
          <w:sz w:val="24"/>
          <w:szCs w:val="24"/>
        </w:rPr>
        <w:t>The Executive Dir</w:t>
      </w:r>
      <w:r w:rsidR="00961323" w:rsidRPr="005B1BF3">
        <w:rPr>
          <w:sz w:val="24"/>
          <w:szCs w:val="24"/>
        </w:rPr>
        <w:t>ector began work on June 1, 2011</w:t>
      </w:r>
      <w:r w:rsidRPr="005B1BF3">
        <w:rPr>
          <w:sz w:val="24"/>
          <w:szCs w:val="24"/>
        </w:rPr>
        <w:t xml:space="preserve"> and proceeded to address the organizational needs of the Consortium</w:t>
      </w:r>
      <w:r w:rsidR="009C0AAF" w:rsidRPr="005B1BF3">
        <w:rPr>
          <w:sz w:val="24"/>
          <w:szCs w:val="24"/>
        </w:rPr>
        <w:t>. Th</w:t>
      </w:r>
      <w:r w:rsidR="007E4D0A" w:rsidRPr="005B1BF3">
        <w:rPr>
          <w:sz w:val="24"/>
          <w:szCs w:val="24"/>
        </w:rPr>
        <w:t xml:space="preserve">e </w:t>
      </w:r>
      <w:r w:rsidR="00961323" w:rsidRPr="005B1BF3">
        <w:rPr>
          <w:sz w:val="24"/>
          <w:szCs w:val="24"/>
        </w:rPr>
        <w:t xml:space="preserve">Consortium </w:t>
      </w:r>
      <w:r w:rsidR="000B062F" w:rsidRPr="005B1BF3">
        <w:rPr>
          <w:sz w:val="24"/>
          <w:szCs w:val="24"/>
        </w:rPr>
        <w:t xml:space="preserve">established </w:t>
      </w:r>
      <w:r w:rsidR="00961323" w:rsidRPr="005B1BF3">
        <w:rPr>
          <w:sz w:val="24"/>
          <w:szCs w:val="24"/>
        </w:rPr>
        <w:t xml:space="preserve">its </w:t>
      </w:r>
      <w:r w:rsidR="000B062F" w:rsidRPr="005B1BF3">
        <w:rPr>
          <w:sz w:val="24"/>
          <w:szCs w:val="24"/>
        </w:rPr>
        <w:t xml:space="preserve">Program Management Office (PMO), </w:t>
      </w:r>
      <w:r w:rsidR="00F22756" w:rsidRPr="005B1BF3">
        <w:rPr>
          <w:sz w:val="24"/>
          <w:szCs w:val="24"/>
        </w:rPr>
        <w:t>adopted necessary benefit service contracts and HR polices, identified and  s</w:t>
      </w:r>
      <w:r w:rsidR="007E4D0A" w:rsidRPr="005B1BF3">
        <w:rPr>
          <w:sz w:val="24"/>
          <w:szCs w:val="24"/>
        </w:rPr>
        <w:t>ecured office space from the City of Akron and furniture from the city of Youngstown</w:t>
      </w:r>
      <w:r w:rsidR="00F22756" w:rsidRPr="005B1BF3">
        <w:rPr>
          <w:sz w:val="24"/>
          <w:szCs w:val="24"/>
        </w:rPr>
        <w:t xml:space="preserve">, </w:t>
      </w:r>
      <w:r w:rsidR="007E4D0A" w:rsidRPr="005B1BF3">
        <w:rPr>
          <w:sz w:val="24"/>
          <w:szCs w:val="24"/>
        </w:rPr>
        <w:t xml:space="preserve"> and hired all staff (7 full-time and 1 intern) needed out the work of the project and the organization. </w:t>
      </w:r>
      <w:r w:rsidR="00F22756" w:rsidRPr="005B1BF3">
        <w:rPr>
          <w:sz w:val="24"/>
          <w:szCs w:val="24"/>
        </w:rPr>
        <w:t>The organization was fully functional in October 2011.</w:t>
      </w:r>
    </w:p>
    <w:p w:rsidR="00573429" w:rsidRPr="005B1BF3" w:rsidRDefault="007E4D0A" w:rsidP="007E4D0A">
      <w:pPr>
        <w:rPr>
          <w:sz w:val="24"/>
          <w:szCs w:val="24"/>
        </w:rPr>
      </w:pPr>
      <w:r w:rsidRPr="005B1BF3">
        <w:rPr>
          <w:sz w:val="24"/>
          <w:szCs w:val="24"/>
        </w:rPr>
        <w:t>The Consortium engaged legal counsel to apply for Federal non-profit</w:t>
      </w:r>
      <w:r w:rsidR="000B062F" w:rsidRPr="005B1BF3">
        <w:rPr>
          <w:sz w:val="24"/>
          <w:szCs w:val="24"/>
        </w:rPr>
        <w:t xml:space="preserve"> status and</w:t>
      </w:r>
      <w:r w:rsidRPr="005B1BF3">
        <w:rPr>
          <w:sz w:val="24"/>
          <w:szCs w:val="24"/>
        </w:rPr>
        <w:t xml:space="preserve"> e</w:t>
      </w:r>
      <w:r w:rsidR="000B062F" w:rsidRPr="005B1BF3">
        <w:rPr>
          <w:sz w:val="24"/>
          <w:szCs w:val="24"/>
        </w:rPr>
        <w:t>ntered</w:t>
      </w:r>
      <w:r w:rsidR="00573429" w:rsidRPr="005B1BF3">
        <w:rPr>
          <w:sz w:val="24"/>
          <w:szCs w:val="24"/>
        </w:rPr>
        <w:t xml:space="preserve"> into agreement with TeamNEO to act as </w:t>
      </w:r>
      <w:r w:rsidR="00961323" w:rsidRPr="005B1BF3">
        <w:rPr>
          <w:sz w:val="24"/>
          <w:szCs w:val="24"/>
        </w:rPr>
        <w:t>temporary non</w:t>
      </w:r>
      <w:r w:rsidR="00573429" w:rsidRPr="005B1BF3">
        <w:rPr>
          <w:sz w:val="24"/>
          <w:szCs w:val="24"/>
        </w:rPr>
        <w:t>-profit fiscal agent</w:t>
      </w:r>
      <w:r w:rsidR="00961323" w:rsidRPr="005B1BF3">
        <w:rPr>
          <w:sz w:val="24"/>
          <w:szCs w:val="24"/>
        </w:rPr>
        <w:t xml:space="preserve"> during the pendency of the Consortium’s 501(c)3 application. This arrangement enabled </w:t>
      </w:r>
      <w:r w:rsidR="00573429" w:rsidRPr="005B1BF3">
        <w:rPr>
          <w:sz w:val="24"/>
          <w:szCs w:val="24"/>
        </w:rPr>
        <w:t xml:space="preserve">the Fund disburse its grant to the </w:t>
      </w:r>
      <w:r w:rsidR="009C0AAF" w:rsidRPr="005B1BF3">
        <w:rPr>
          <w:sz w:val="24"/>
          <w:szCs w:val="24"/>
        </w:rPr>
        <w:t>Consortium</w:t>
      </w:r>
      <w:r w:rsidRPr="005B1BF3">
        <w:rPr>
          <w:sz w:val="24"/>
          <w:szCs w:val="24"/>
        </w:rPr>
        <w:t xml:space="preserve">. The Consortium expanded its membership, </w:t>
      </w:r>
      <w:r w:rsidR="00F22756" w:rsidRPr="005B1BF3">
        <w:rPr>
          <w:sz w:val="24"/>
          <w:szCs w:val="24"/>
        </w:rPr>
        <w:t>identifying and interviewing 15 potential new members</w:t>
      </w:r>
      <w:r w:rsidR="00961323" w:rsidRPr="005B1BF3">
        <w:rPr>
          <w:sz w:val="24"/>
          <w:szCs w:val="24"/>
        </w:rPr>
        <w:t xml:space="preserve"> and appointing the 10 that accepted the invitation</w:t>
      </w:r>
      <w:r w:rsidR="00F22756" w:rsidRPr="005B1BF3">
        <w:rPr>
          <w:sz w:val="24"/>
          <w:szCs w:val="24"/>
        </w:rPr>
        <w:t xml:space="preserve">. </w:t>
      </w:r>
      <w:r w:rsidR="00961323" w:rsidRPr="005B1BF3">
        <w:rPr>
          <w:sz w:val="24"/>
          <w:szCs w:val="24"/>
        </w:rPr>
        <w:t xml:space="preserve">As a result of this expansion, the Consortium addressed </w:t>
      </w:r>
      <w:r w:rsidRPr="005B1BF3">
        <w:rPr>
          <w:sz w:val="24"/>
          <w:szCs w:val="24"/>
        </w:rPr>
        <w:t xml:space="preserve">issues of diversity while broadening the </w:t>
      </w:r>
      <w:r w:rsidR="00961323" w:rsidRPr="005B1BF3">
        <w:rPr>
          <w:sz w:val="24"/>
          <w:szCs w:val="24"/>
        </w:rPr>
        <w:t>experience base and range of perspectives availa</w:t>
      </w:r>
      <w:r w:rsidR="009C6FDE" w:rsidRPr="005B1BF3">
        <w:rPr>
          <w:sz w:val="24"/>
          <w:szCs w:val="24"/>
        </w:rPr>
        <w:t>ble to the organization.</w:t>
      </w:r>
      <w:r w:rsidRPr="005B1BF3">
        <w:rPr>
          <w:sz w:val="24"/>
          <w:szCs w:val="24"/>
        </w:rPr>
        <w:t xml:space="preserve"> </w:t>
      </w:r>
    </w:p>
    <w:p w:rsidR="007E4D0A" w:rsidRPr="005B1BF3" w:rsidRDefault="007E4D0A" w:rsidP="007E4D0A">
      <w:pPr>
        <w:rPr>
          <w:b/>
          <w:sz w:val="24"/>
          <w:szCs w:val="24"/>
        </w:rPr>
      </w:pPr>
      <w:r w:rsidRPr="005B1BF3">
        <w:rPr>
          <w:sz w:val="24"/>
          <w:szCs w:val="24"/>
        </w:rPr>
        <w:t xml:space="preserve">The </w:t>
      </w:r>
      <w:r w:rsidR="009C6FDE" w:rsidRPr="005B1BF3">
        <w:rPr>
          <w:sz w:val="24"/>
          <w:szCs w:val="24"/>
        </w:rPr>
        <w:t xml:space="preserve">Consortium </w:t>
      </w:r>
      <w:r w:rsidRPr="005B1BF3">
        <w:rPr>
          <w:sz w:val="24"/>
          <w:szCs w:val="24"/>
        </w:rPr>
        <w:t xml:space="preserve">focused on three work elements that would establish the foundation of the region’s Vision and Framework:  </w:t>
      </w:r>
      <w:r w:rsidRPr="005B1BF3">
        <w:rPr>
          <w:b/>
          <w:sz w:val="24"/>
          <w:szCs w:val="24"/>
        </w:rPr>
        <w:t>Objective Analysis and Facts</w:t>
      </w:r>
      <w:r w:rsidRPr="005B1BF3">
        <w:rPr>
          <w:sz w:val="24"/>
          <w:szCs w:val="24"/>
        </w:rPr>
        <w:t xml:space="preserve">, </w:t>
      </w:r>
      <w:r w:rsidRPr="005B1BF3">
        <w:rPr>
          <w:b/>
          <w:sz w:val="24"/>
          <w:szCs w:val="24"/>
        </w:rPr>
        <w:t>Shared Community Values</w:t>
      </w:r>
      <w:r w:rsidRPr="005B1BF3">
        <w:rPr>
          <w:sz w:val="24"/>
          <w:szCs w:val="24"/>
        </w:rPr>
        <w:t xml:space="preserve"> and </w:t>
      </w:r>
      <w:r w:rsidRPr="005B1BF3">
        <w:rPr>
          <w:b/>
          <w:sz w:val="24"/>
          <w:szCs w:val="24"/>
        </w:rPr>
        <w:t xml:space="preserve">Practical Experience. </w:t>
      </w:r>
    </w:p>
    <w:p w:rsidR="007E4D0A" w:rsidRPr="005B1BF3" w:rsidRDefault="007E4D0A" w:rsidP="007E4D0A">
      <w:pPr>
        <w:rPr>
          <w:sz w:val="24"/>
          <w:szCs w:val="24"/>
        </w:rPr>
      </w:pPr>
      <w:r w:rsidRPr="005B1BF3">
        <w:rPr>
          <w:sz w:val="24"/>
          <w:szCs w:val="24"/>
        </w:rPr>
        <w:t>The Consortium proposed in its grant application to develop the necessary analytic tools and objective facts through the establishment of five “</w:t>
      </w:r>
      <w:r w:rsidR="006A752A" w:rsidRPr="005B1BF3">
        <w:rPr>
          <w:sz w:val="24"/>
          <w:szCs w:val="24"/>
        </w:rPr>
        <w:t>Workstream</w:t>
      </w:r>
      <w:r w:rsidRPr="005B1BF3">
        <w:rPr>
          <w:sz w:val="24"/>
          <w:szCs w:val="24"/>
        </w:rPr>
        <w:t>s”</w:t>
      </w:r>
      <w:r w:rsidR="000B062F" w:rsidRPr="005B1BF3">
        <w:rPr>
          <w:sz w:val="24"/>
          <w:szCs w:val="24"/>
        </w:rPr>
        <w:t xml:space="preserve"> addressing the region’s economy, environment, transportation systems, housing and community development, and place making.  During the second half of 2011, the Consortium established these five work streams (renaming Transportation as “Connections” and Place Making as “Quality Connected Places”) and added two others—Data/GIS and Communications and Engagement.  Professional program managers (four PMO staff members, two consultant managers, and one in-kind manager) identified, interviewed, and convened committee members and commenced development of work programs for each group. Together over 120 subject matter experts drawn from the entire Northeast Ohio region contributed countless</w:t>
      </w:r>
      <w:r w:rsidR="007C62D0" w:rsidRPr="005B1BF3">
        <w:rPr>
          <w:sz w:val="24"/>
          <w:szCs w:val="24"/>
        </w:rPr>
        <w:t xml:space="preserve"> volunteer hours </w:t>
      </w:r>
      <w:r w:rsidR="000B062F" w:rsidRPr="005B1BF3">
        <w:rPr>
          <w:sz w:val="24"/>
          <w:szCs w:val="24"/>
        </w:rPr>
        <w:t xml:space="preserve">to the VibrantNEO endeavor. </w:t>
      </w:r>
    </w:p>
    <w:p w:rsidR="005547C0" w:rsidRPr="005B1BF3" w:rsidRDefault="00477888" w:rsidP="007E4D0A">
      <w:pPr>
        <w:rPr>
          <w:sz w:val="24"/>
          <w:szCs w:val="24"/>
        </w:rPr>
      </w:pPr>
      <w:r w:rsidRPr="005B1BF3">
        <w:rPr>
          <w:sz w:val="24"/>
          <w:szCs w:val="24"/>
          <w:u w:val="single"/>
        </w:rPr>
        <w:t xml:space="preserve">The four subject matter </w:t>
      </w:r>
      <w:r w:rsidR="006A752A" w:rsidRPr="005B1BF3">
        <w:rPr>
          <w:sz w:val="24"/>
          <w:szCs w:val="24"/>
          <w:u w:val="single"/>
        </w:rPr>
        <w:t>Workstream</w:t>
      </w:r>
      <w:r w:rsidR="000B062F" w:rsidRPr="005B1BF3">
        <w:rPr>
          <w:sz w:val="24"/>
          <w:szCs w:val="24"/>
          <w:u w:val="single"/>
        </w:rPr>
        <w:t>s—Economic Development, Environment, Connections and Housing and Community Development</w:t>
      </w:r>
      <w:r w:rsidR="000B062F" w:rsidRPr="005B1BF3">
        <w:rPr>
          <w:sz w:val="24"/>
          <w:szCs w:val="24"/>
        </w:rPr>
        <w:t xml:space="preserve">—focused their efforts on reviewing over 200 existing plans and studies in their subject area and working with their committee members to scour the region for sources of current data and maps. </w:t>
      </w:r>
      <w:r w:rsidR="00F252AA" w:rsidRPr="005B1BF3">
        <w:rPr>
          <w:sz w:val="24"/>
          <w:szCs w:val="24"/>
        </w:rPr>
        <w:t>This information</w:t>
      </w:r>
      <w:r w:rsidR="005547C0" w:rsidRPr="005B1BF3">
        <w:rPr>
          <w:sz w:val="24"/>
          <w:szCs w:val="24"/>
        </w:rPr>
        <w:t xml:space="preserve"> was summarized and presented in the Consortium’s first </w:t>
      </w:r>
      <w:r w:rsidR="009C6FDE" w:rsidRPr="005B1BF3">
        <w:rPr>
          <w:sz w:val="24"/>
          <w:szCs w:val="24"/>
        </w:rPr>
        <w:t>report</w:t>
      </w:r>
      <w:r w:rsidR="005547C0" w:rsidRPr="005B1BF3">
        <w:rPr>
          <w:sz w:val="24"/>
          <w:szCs w:val="24"/>
        </w:rPr>
        <w:t xml:space="preserve">, the </w:t>
      </w:r>
      <w:r w:rsidR="005547C0" w:rsidRPr="005B1BF3">
        <w:rPr>
          <w:b/>
          <w:sz w:val="24"/>
          <w:szCs w:val="24"/>
        </w:rPr>
        <w:t>Co</w:t>
      </w:r>
      <w:r w:rsidR="007C62D0" w:rsidRPr="005B1BF3">
        <w:rPr>
          <w:b/>
          <w:sz w:val="24"/>
          <w:szCs w:val="24"/>
        </w:rPr>
        <w:t xml:space="preserve">nditions and Trends </w:t>
      </w:r>
      <w:r w:rsidR="005C3A50" w:rsidRPr="005B1BF3">
        <w:rPr>
          <w:b/>
          <w:sz w:val="24"/>
          <w:szCs w:val="24"/>
        </w:rPr>
        <w:t>Platform</w:t>
      </w:r>
      <w:r w:rsidR="009C6FDE" w:rsidRPr="005B1BF3">
        <w:rPr>
          <w:b/>
          <w:sz w:val="24"/>
          <w:szCs w:val="24"/>
        </w:rPr>
        <w:t xml:space="preserve">. </w:t>
      </w:r>
      <w:r w:rsidR="009C6FDE" w:rsidRPr="005B1BF3">
        <w:rPr>
          <w:sz w:val="24"/>
          <w:szCs w:val="24"/>
        </w:rPr>
        <w:t>The C&amp;T Platform framed the broad issues facing the region and provided s</w:t>
      </w:r>
      <w:r w:rsidR="005547C0" w:rsidRPr="005B1BF3">
        <w:rPr>
          <w:sz w:val="24"/>
          <w:szCs w:val="24"/>
        </w:rPr>
        <w:t xml:space="preserve">ignificant data and </w:t>
      </w:r>
      <w:r w:rsidR="009C6FDE" w:rsidRPr="005B1BF3">
        <w:rPr>
          <w:sz w:val="24"/>
          <w:szCs w:val="24"/>
        </w:rPr>
        <w:t xml:space="preserve">trend line information that was used in the </w:t>
      </w:r>
      <w:r w:rsidR="005547C0" w:rsidRPr="005B1BF3">
        <w:rPr>
          <w:sz w:val="24"/>
          <w:szCs w:val="24"/>
        </w:rPr>
        <w:t xml:space="preserve">subsequent scenario planning process. </w:t>
      </w:r>
    </w:p>
    <w:p w:rsidR="000B062F" w:rsidRPr="005B1BF3" w:rsidRDefault="000B062F" w:rsidP="007E4D0A">
      <w:pPr>
        <w:rPr>
          <w:sz w:val="24"/>
          <w:szCs w:val="24"/>
        </w:rPr>
      </w:pPr>
      <w:r w:rsidRPr="005B1BF3">
        <w:rPr>
          <w:sz w:val="24"/>
          <w:szCs w:val="24"/>
        </w:rPr>
        <w:t xml:space="preserve">The </w:t>
      </w:r>
      <w:r w:rsidRPr="005B1BF3">
        <w:rPr>
          <w:sz w:val="24"/>
          <w:szCs w:val="24"/>
          <w:u w:val="single"/>
        </w:rPr>
        <w:t>Quality Connected Place</w:t>
      </w:r>
      <w:r w:rsidR="005547C0" w:rsidRPr="005B1BF3">
        <w:rPr>
          <w:sz w:val="24"/>
          <w:szCs w:val="24"/>
          <w:u w:val="single"/>
        </w:rPr>
        <w:t xml:space="preserve">s </w:t>
      </w:r>
      <w:r w:rsidR="006A752A" w:rsidRPr="005B1BF3">
        <w:rPr>
          <w:sz w:val="24"/>
          <w:szCs w:val="24"/>
          <w:u w:val="single"/>
        </w:rPr>
        <w:t>Workstream</w:t>
      </w:r>
      <w:r w:rsidR="005547C0" w:rsidRPr="005B1BF3">
        <w:rPr>
          <w:sz w:val="24"/>
          <w:szCs w:val="24"/>
        </w:rPr>
        <w:t xml:space="preserve"> focused on documenting the physical characteristics of the region’s “places” and carried out extensive field work thought the r</w:t>
      </w:r>
      <w:r w:rsidR="00283727" w:rsidRPr="005B1BF3">
        <w:rPr>
          <w:sz w:val="24"/>
          <w:szCs w:val="24"/>
        </w:rPr>
        <w:t>egion</w:t>
      </w:r>
      <w:r w:rsidR="009C6FDE" w:rsidRPr="005B1BF3">
        <w:rPr>
          <w:sz w:val="24"/>
          <w:szCs w:val="24"/>
        </w:rPr>
        <w:t xml:space="preserve">. This work was graphic and visual in nature and was </w:t>
      </w:r>
      <w:r w:rsidR="00283727" w:rsidRPr="005B1BF3">
        <w:rPr>
          <w:sz w:val="24"/>
          <w:szCs w:val="24"/>
        </w:rPr>
        <w:t xml:space="preserve">aimed at identifying and </w:t>
      </w:r>
      <w:r w:rsidR="005547C0" w:rsidRPr="005B1BF3">
        <w:rPr>
          <w:sz w:val="24"/>
          <w:szCs w:val="24"/>
        </w:rPr>
        <w:t>docu</w:t>
      </w:r>
      <w:r w:rsidR="00F252AA" w:rsidRPr="005B1BF3">
        <w:rPr>
          <w:sz w:val="24"/>
          <w:szCs w:val="24"/>
        </w:rPr>
        <w:t xml:space="preserve">menting the unique place types </w:t>
      </w:r>
      <w:r w:rsidR="005547C0" w:rsidRPr="005B1BF3">
        <w:rPr>
          <w:sz w:val="24"/>
          <w:szCs w:val="24"/>
        </w:rPr>
        <w:t>and landscapes found in Northeast Ohio.</w:t>
      </w:r>
      <w:r w:rsidR="009C6FDE" w:rsidRPr="005B1BF3">
        <w:rPr>
          <w:sz w:val="24"/>
          <w:szCs w:val="24"/>
        </w:rPr>
        <w:t xml:space="preserve"> Information developed by the QCP Workstream was used by the scenario planning consultant team to develop a palate of building, development and </w:t>
      </w:r>
      <w:r w:rsidR="00477888" w:rsidRPr="005B1BF3">
        <w:rPr>
          <w:sz w:val="24"/>
          <w:szCs w:val="24"/>
        </w:rPr>
        <w:t>place types unique</w:t>
      </w:r>
      <w:r w:rsidR="009C6FDE" w:rsidRPr="005B1BF3">
        <w:rPr>
          <w:sz w:val="24"/>
          <w:szCs w:val="24"/>
        </w:rPr>
        <w:t xml:space="preserve"> to the Northeast Ohio region. </w:t>
      </w:r>
    </w:p>
    <w:p w:rsidR="00F22756" w:rsidRPr="005B1BF3" w:rsidRDefault="00F22756" w:rsidP="00F22756">
      <w:pPr>
        <w:rPr>
          <w:sz w:val="24"/>
          <w:szCs w:val="24"/>
        </w:rPr>
      </w:pPr>
      <w:r w:rsidRPr="005B1BF3">
        <w:rPr>
          <w:sz w:val="24"/>
          <w:szCs w:val="24"/>
        </w:rPr>
        <w:t xml:space="preserve">The </w:t>
      </w:r>
      <w:r w:rsidRPr="005B1BF3">
        <w:rPr>
          <w:sz w:val="24"/>
          <w:szCs w:val="24"/>
          <w:u w:val="single"/>
        </w:rPr>
        <w:t xml:space="preserve">Data/GIS </w:t>
      </w:r>
      <w:r w:rsidR="006A752A" w:rsidRPr="005B1BF3">
        <w:rPr>
          <w:sz w:val="24"/>
          <w:szCs w:val="24"/>
          <w:u w:val="single"/>
        </w:rPr>
        <w:t>Workstream</w:t>
      </w:r>
      <w:r w:rsidRPr="005B1BF3">
        <w:rPr>
          <w:sz w:val="24"/>
          <w:szCs w:val="24"/>
        </w:rPr>
        <w:t xml:space="preserve"> focused on creating the region’s first parcel-based </w:t>
      </w:r>
      <w:r w:rsidRPr="005B1BF3">
        <w:rPr>
          <w:b/>
          <w:sz w:val="24"/>
          <w:szCs w:val="24"/>
        </w:rPr>
        <w:t>general land use and zoning maps.</w:t>
      </w:r>
      <w:r w:rsidRPr="005B1BF3">
        <w:rPr>
          <w:sz w:val="24"/>
          <w:szCs w:val="24"/>
        </w:rPr>
        <w:t xml:space="preserve"> The directors of the region’s four</w:t>
      </w:r>
      <w:r w:rsidR="00B15FBA">
        <w:rPr>
          <w:sz w:val="24"/>
          <w:szCs w:val="24"/>
        </w:rPr>
        <w:t xml:space="preserve"> MPOs</w:t>
      </w:r>
      <w:r w:rsidRPr="005B1BF3">
        <w:rPr>
          <w:sz w:val="24"/>
          <w:szCs w:val="24"/>
        </w:rPr>
        <w:t xml:space="preserve"> agreed to assign their respective GIS staff members to the daunting task of preparing accurate maps for a 12-county region</w:t>
      </w:r>
      <w:r w:rsidR="00477888" w:rsidRPr="005B1BF3">
        <w:rPr>
          <w:sz w:val="24"/>
          <w:szCs w:val="24"/>
        </w:rPr>
        <w:t xml:space="preserve">—a region roughly the size of Connecticut </w:t>
      </w:r>
      <w:r w:rsidRPr="005B1BF3">
        <w:rPr>
          <w:sz w:val="24"/>
          <w:szCs w:val="24"/>
        </w:rPr>
        <w:t>with over 1.8 million discrete parcels. Under the direction of a PMO staff member, the GIS team used techniques developed by</w:t>
      </w:r>
      <w:r w:rsidR="00477888" w:rsidRPr="005B1BF3">
        <w:rPr>
          <w:sz w:val="24"/>
          <w:szCs w:val="24"/>
        </w:rPr>
        <w:t xml:space="preserve"> the</w:t>
      </w:r>
      <w:r w:rsidRPr="005B1BF3">
        <w:rPr>
          <w:sz w:val="24"/>
          <w:szCs w:val="24"/>
        </w:rPr>
        <w:t xml:space="preserve"> SCATS </w:t>
      </w:r>
      <w:r w:rsidR="00477888" w:rsidRPr="005B1BF3">
        <w:rPr>
          <w:sz w:val="24"/>
          <w:szCs w:val="24"/>
        </w:rPr>
        <w:t xml:space="preserve">MPO </w:t>
      </w:r>
      <w:r w:rsidRPr="005B1BF3">
        <w:rPr>
          <w:sz w:val="24"/>
          <w:szCs w:val="24"/>
        </w:rPr>
        <w:t xml:space="preserve">in Canton </w:t>
      </w:r>
      <w:r w:rsidR="00477888" w:rsidRPr="005B1BF3">
        <w:rPr>
          <w:sz w:val="24"/>
          <w:szCs w:val="24"/>
        </w:rPr>
        <w:t xml:space="preserve">and the </w:t>
      </w:r>
      <w:r w:rsidRPr="005B1BF3">
        <w:rPr>
          <w:sz w:val="24"/>
          <w:szCs w:val="24"/>
        </w:rPr>
        <w:t>Eastgate</w:t>
      </w:r>
      <w:r w:rsidR="00477888" w:rsidRPr="005B1BF3">
        <w:rPr>
          <w:sz w:val="24"/>
          <w:szCs w:val="24"/>
        </w:rPr>
        <w:t xml:space="preserve"> MPO</w:t>
      </w:r>
      <w:r w:rsidRPr="005B1BF3">
        <w:rPr>
          <w:sz w:val="24"/>
          <w:szCs w:val="24"/>
        </w:rPr>
        <w:t xml:space="preserve"> in the Mahoning Valley to develop the regional land use map. The team</w:t>
      </w:r>
      <w:r w:rsidR="00477888" w:rsidRPr="005B1BF3">
        <w:rPr>
          <w:sz w:val="24"/>
          <w:szCs w:val="24"/>
        </w:rPr>
        <w:t xml:space="preserve"> contacted each of the 12 county</w:t>
      </w:r>
      <w:r w:rsidRPr="005B1BF3">
        <w:rPr>
          <w:sz w:val="24"/>
          <w:szCs w:val="24"/>
        </w:rPr>
        <w:t xml:space="preserve"> auditors or financial officers and secured from them the parcel files used to identify land use for appraisal purposes. The GIS team members agreed on a protocol for aggregating the auditors’ detailed property classification</w:t>
      </w:r>
      <w:r w:rsidR="00477888" w:rsidRPr="005B1BF3">
        <w:rPr>
          <w:sz w:val="24"/>
          <w:szCs w:val="24"/>
        </w:rPr>
        <w:t xml:space="preserve"> system into </w:t>
      </w:r>
      <w:r w:rsidRPr="005B1BF3">
        <w:rPr>
          <w:sz w:val="24"/>
          <w:szCs w:val="24"/>
        </w:rPr>
        <w:t xml:space="preserve">the basic land use classifications used by planners.  </w:t>
      </w:r>
    </w:p>
    <w:p w:rsidR="00477888" w:rsidRPr="005B1BF3" w:rsidRDefault="00F22756" w:rsidP="00F22756">
      <w:pPr>
        <w:rPr>
          <w:sz w:val="24"/>
          <w:szCs w:val="24"/>
        </w:rPr>
      </w:pPr>
      <w:r w:rsidRPr="005B1BF3">
        <w:rPr>
          <w:sz w:val="24"/>
          <w:szCs w:val="24"/>
        </w:rPr>
        <w:t xml:space="preserve">To produce the region’s generalized zoning map, the team addressed and equally daunting data issue:  The region has 400 distinct cities, village and townships which each can adopt zoning using classifications they deem best meet their individual needs. </w:t>
      </w:r>
      <w:r w:rsidR="00477888" w:rsidRPr="005B1BF3">
        <w:rPr>
          <w:sz w:val="24"/>
          <w:szCs w:val="24"/>
        </w:rPr>
        <w:t>There are no mandated or generally-accepted standards for zoning use classification</w:t>
      </w:r>
      <w:r w:rsidRPr="005B1BF3">
        <w:rPr>
          <w:sz w:val="24"/>
          <w:szCs w:val="24"/>
        </w:rPr>
        <w:t xml:space="preserve">, making the development of a general zoning map for the region a challenging proposition. </w:t>
      </w:r>
    </w:p>
    <w:p w:rsidR="00F22756" w:rsidRPr="005B1BF3" w:rsidRDefault="00477888" w:rsidP="00F22756">
      <w:pPr>
        <w:rPr>
          <w:sz w:val="24"/>
          <w:szCs w:val="24"/>
        </w:rPr>
      </w:pPr>
      <w:r w:rsidRPr="005B1BF3">
        <w:rPr>
          <w:sz w:val="24"/>
          <w:szCs w:val="24"/>
        </w:rPr>
        <w:t xml:space="preserve">The team overcame this challenge by employing </w:t>
      </w:r>
      <w:r w:rsidR="00F22756" w:rsidRPr="005B1BF3">
        <w:rPr>
          <w:sz w:val="24"/>
          <w:szCs w:val="24"/>
        </w:rPr>
        <w:t xml:space="preserve">a classification method developed by the AMATS MPO in Akron.  The team classified each parcel into a </w:t>
      </w:r>
      <w:r w:rsidRPr="005B1BF3">
        <w:rPr>
          <w:sz w:val="24"/>
          <w:szCs w:val="24"/>
        </w:rPr>
        <w:t xml:space="preserve">single </w:t>
      </w:r>
      <w:r w:rsidR="00F22756" w:rsidRPr="005B1BF3">
        <w:rPr>
          <w:sz w:val="24"/>
          <w:szCs w:val="24"/>
        </w:rPr>
        <w:t>zoning class</w:t>
      </w:r>
      <w:r w:rsidRPr="005B1BF3">
        <w:rPr>
          <w:sz w:val="24"/>
          <w:szCs w:val="24"/>
        </w:rPr>
        <w:t xml:space="preserve">: Industrial, Commercial/Business, Public Service, Agricultural, Development Overlay or </w:t>
      </w:r>
      <w:r w:rsidR="008B0D19" w:rsidRPr="005B1BF3">
        <w:rPr>
          <w:sz w:val="24"/>
          <w:szCs w:val="24"/>
        </w:rPr>
        <w:t xml:space="preserve">Residential. </w:t>
      </w:r>
      <w:r w:rsidRPr="005B1BF3">
        <w:rPr>
          <w:sz w:val="24"/>
          <w:szCs w:val="24"/>
        </w:rPr>
        <w:t xml:space="preserve">Residential uses were divided further in to five classes based </w:t>
      </w:r>
      <w:r w:rsidR="00F22756" w:rsidRPr="005B1BF3">
        <w:rPr>
          <w:sz w:val="24"/>
          <w:szCs w:val="24"/>
        </w:rPr>
        <w:t>into categories determined by the densities that support different levels of transit service and acknowledge the minimum area requirement for septic systems.  The team also mapped vacant land as determined by each of the12 counties, thereby enabling the PMO and its consultants to identify vacant land in each category (industrial, commercial, residential, etc.).</w:t>
      </w:r>
    </w:p>
    <w:p w:rsidR="005547C0" w:rsidRPr="005B1BF3" w:rsidRDefault="005547C0" w:rsidP="007E4D0A">
      <w:pPr>
        <w:rPr>
          <w:sz w:val="24"/>
          <w:szCs w:val="24"/>
        </w:rPr>
      </w:pPr>
      <w:r w:rsidRPr="005B1BF3">
        <w:rPr>
          <w:sz w:val="24"/>
          <w:szCs w:val="24"/>
        </w:rPr>
        <w:t xml:space="preserve">The </w:t>
      </w:r>
      <w:r w:rsidRPr="005B1BF3">
        <w:rPr>
          <w:sz w:val="24"/>
          <w:szCs w:val="24"/>
          <w:u w:val="single"/>
        </w:rPr>
        <w:t>Communications and</w:t>
      </w:r>
      <w:r w:rsidR="001D1FFC" w:rsidRPr="005B1BF3">
        <w:rPr>
          <w:sz w:val="24"/>
          <w:szCs w:val="24"/>
          <w:u w:val="single"/>
        </w:rPr>
        <w:t xml:space="preserve"> Engagement </w:t>
      </w:r>
      <w:r w:rsidR="006A752A" w:rsidRPr="005B1BF3">
        <w:rPr>
          <w:sz w:val="24"/>
          <w:szCs w:val="24"/>
          <w:u w:val="single"/>
        </w:rPr>
        <w:t>Workstream</w:t>
      </w:r>
      <w:r w:rsidR="001D1FFC" w:rsidRPr="005B1BF3">
        <w:rPr>
          <w:sz w:val="24"/>
          <w:szCs w:val="24"/>
        </w:rPr>
        <w:t xml:space="preserve"> focused </w:t>
      </w:r>
      <w:r w:rsidRPr="005B1BF3">
        <w:rPr>
          <w:sz w:val="24"/>
          <w:szCs w:val="24"/>
        </w:rPr>
        <w:t xml:space="preserve">on </w:t>
      </w:r>
      <w:r w:rsidR="00F22756" w:rsidRPr="005B1BF3">
        <w:rPr>
          <w:sz w:val="24"/>
          <w:szCs w:val="24"/>
        </w:rPr>
        <w:t xml:space="preserve">identifying Shared Community Values. The Committee began its work by </w:t>
      </w:r>
      <w:r w:rsidRPr="005B1BF3">
        <w:rPr>
          <w:sz w:val="24"/>
          <w:szCs w:val="24"/>
        </w:rPr>
        <w:t>creating</w:t>
      </w:r>
      <w:r w:rsidR="00F22756" w:rsidRPr="005B1BF3">
        <w:rPr>
          <w:sz w:val="24"/>
          <w:szCs w:val="24"/>
        </w:rPr>
        <w:t xml:space="preserve"> and adopting </w:t>
      </w:r>
      <w:r w:rsidRPr="005B1BF3">
        <w:rPr>
          <w:sz w:val="24"/>
          <w:szCs w:val="24"/>
        </w:rPr>
        <w:t xml:space="preserve"> a </w:t>
      </w:r>
      <w:r w:rsidRPr="005B1BF3">
        <w:rPr>
          <w:b/>
          <w:sz w:val="24"/>
          <w:szCs w:val="24"/>
        </w:rPr>
        <w:t xml:space="preserve">Communication and Engagement program </w:t>
      </w:r>
      <w:r w:rsidRPr="005B1BF3">
        <w:rPr>
          <w:sz w:val="24"/>
          <w:szCs w:val="24"/>
        </w:rPr>
        <w:t xml:space="preserve">that would ensure  broad participation in the regional  planning process and reach out to communities that are often absent from traditional civic planning processes—minority communities, rural communities, and young people who prefer to engage through social media. The PMO engagement staff </w:t>
      </w:r>
      <w:r w:rsidR="00F22756" w:rsidRPr="005B1BF3">
        <w:rPr>
          <w:sz w:val="24"/>
          <w:szCs w:val="24"/>
        </w:rPr>
        <w:t xml:space="preserve">also </w:t>
      </w:r>
      <w:r w:rsidRPr="005B1BF3">
        <w:rPr>
          <w:sz w:val="24"/>
          <w:szCs w:val="24"/>
        </w:rPr>
        <w:t>established the Consortium’s website and integrated social media platforms (Facebook, Twitter, etc.) into</w:t>
      </w:r>
      <w:r w:rsidR="00F252AA" w:rsidRPr="005B1BF3">
        <w:rPr>
          <w:sz w:val="24"/>
          <w:szCs w:val="24"/>
        </w:rPr>
        <w:t xml:space="preserve"> </w:t>
      </w:r>
      <w:r w:rsidRPr="005B1BF3">
        <w:rPr>
          <w:sz w:val="24"/>
          <w:szCs w:val="24"/>
        </w:rPr>
        <w:t xml:space="preserve">the webpage.  </w:t>
      </w:r>
      <w:r w:rsidR="00283727" w:rsidRPr="005B1BF3">
        <w:rPr>
          <w:sz w:val="24"/>
          <w:szCs w:val="24"/>
        </w:rPr>
        <w:t>Th</w:t>
      </w:r>
      <w:r w:rsidR="00F252AA" w:rsidRPr="005B1BF3">
        <w:rPr>
          <w:sz w:val="24"/>
          <w:szCs w:val="24"/>
        </w:rPr>
        <w:t>e</w:t>
      </w:r>
      <w:r w:rsidRPr="005B1BF3">
        <w:rPr>
          <w:sz w:val="24"/>
          <w:szCs w:val="24"/>
        </w:rPr>
        <w:t xml:space="preserve"> Consortium </w:t>
      </w:r>
      <w:r w:rsidR="00F252AA" w:rsidRPr="005B1BF3">
        <w:rPr>
          <w:sz w:val="24"/>
          <w:szCs w:val="24"/>
        </w:rPr>
        <w:t>began the development</w:t>
      </w:r>
      <w:r w:rsidRPr="005B1BF3">
        <w:rPr>
          <w:sz w:val="24"/>
          <w:szCs w:val="24"/>
        </w:rPr>
        <w:t xml:space="preserve"> of the Network of Networks by creating a spreadsheet of regional contacts and </w:t>
      </w:r>
      <w:r w:rsidR="00283727" w:rsidRPr="005B1BF3">
        <w:rPr>
          <w:sz w:val="24"/>
          <w:szCs w:val="24"/>
        </w:rPr>
        <w:t>constructing a network tre</w:t>
      </w:r>
      <w:r w:rsidR="00F252AA" w:rsidRPr="005B1BF3">
        <w:rPr>
          <w:sz w:val="24"/>
          <w:szCs w:val="24"/>
        </w:rPr>
        <w:t xml:space="preserve">e for engagement.  Finally the </w:t>
      </w:r>
      <w:r w:rsidR="00283727" w:rsidRPr="005B1BF3">
        <w:rPr>
          <w:sz w:val="24"/>
          <w:szCs w:val="24"/>
        </w:rPr>
        <w:t>PMO and the Committee conducted two workshops on engagement, issued the first NEOSCC new letter, and compiled a list of media outlets fo</w:t>
      </w:r>
      <w:r w:rsidR="00F252AA" w:rsidRPr="005B1BF3">
        <w:rPr>
          <w:sz w:val="24"/>
          <w:szCs w:val="24"/>
        </w:rPr>
        <w:t>r a region with multiple print and</w:t>
      </w:r>
      <w:r w:rsidR="00283727" w:rsidRPr="005B1BF3">
        <w:rPr>
          <w:sz w:val="24"/>
          <w:szCs w:val="24"/>
        </w:rPr>
        <w:t xml:space="preserve"> electronic media markets. </w:t>
      </w:r>
    </w:p>
    <w:p w:rsidR="007C62D0" w:rsidRPr="005B1BF3" w:rsidRDefault="00F22756" w:rsidP="007E4D0A">
      <w:pPr>
        <w:rPr>
          <w:sz w:val="24"/>
          <w:szCs w:val="24"/>
        </w:rPr>
      </w:pPr>
      <w:r w:rsidRPr="005B1BF3">
        <w:rPr>
          <w:sz w:val="24"/>
          <w:szCs w:val="24"/>
        </w:rPr>
        <w:t xml:space="preserve">The Executive Director and Board members focused on the third foundational element—tapping into the practical experience of the region’s public officials. </w:t>
      </w:r>
      <w:r w:rsidR="00583771" w:rsidRPr="005B1BF3">
        <w:rPr>
          <w:sz w:val="24"/>
          <w:szCs w:val="24"/>
        </w:rPr>
        <w:t xml:space="preserve">They acknowledged that the task ahead would be a daunting one: The region </w:t>
      </w:r>
      <w:r w:rsidRPr="005B1BF3">
        <w:rPr>
          <w:sz w:val="24"/>
          <w:szCs w:val="24"/>
        </w:rPr>
        <w:t>is comprised of 700 taxing jurisdictions (including 400 cities, villages and townships), 12 counties and 5 special purpose multi-county intergovernmental org</w:t>
      </w:r>
      <w:r w:rsidR="00583771" w:rsidRPr="005B1BF3">
        <w:rPr>
          <w:sz w:val="24"/>
          <w:szCs w:val="24"/>
        </w:rPr>
        <w:t xml:space="preserve">anizations. It has over 2500 elected officials and numerous </w:t>
      </w:r>
      <w:r w:rsidR="00030545" w:rsidRPr="005B1BF3">
        <w:rPr>
          <w:sz w:val="24"/>
          <w:szCs w:val="24"/>
        </w:rPr>
        <w:t xml:space="preserve">appointed executive directors who </w:t>
      </w:r>
      <w:r w:rsidR="00583771" w:rsidRPr="005B1BF3">
        <w:rPr>
          <w:sz w:val="24"/>
          <w:szCs w:val="24"/>
        </w:rPr>
        <w:t xml:space="preserve">are responsible for managing agencies, authorities, and independent public organizations that have a significant impact on the region’s economy, environment, and infrastructure systems. </w:t>
      </w:r>
    </w:p>
    <w:p w:rsidR="00782734" w:rsidRPr="005B1BF3" w:rsidRDefault="00583771" w:rsidP="007E4D0A">
      <w:pPr>
        <w:rPr>
          <w:sz w:val="24"/>
          <w:szCs w:val="24"/>
        </w:rPr>
      </w:pPr>
      <w:r w:rsidRPr="005B1BF3">
        <w:rPr>
          <w:sz w:val="24"/>
          <w:szCs w:val="24"/>
        </w:rPr>
        <w:t xml:space="preserve">The Board and the Directors acknowledged that the region had never attempted a collaborative planning process of this scale and complexity and that, to do so, the Consortium would </w:t>
      </w:r>
      <w:r w:rsidR="00030545" w:rsidRPr="005B1BF3">
        <w:rPr>
          <w:sz w:val="24"/>
          <w:szCs w:val="24"/>
        </w:rPr>
        <w:t xml:space="preserve">need </w:t>
      </w:r>
      <w:r w:rsidRPr="005B1BF3">
        <w:rPr>
          <w:sz w:val="24"/>
          <w:szCs w:val="24"/>
        </w:rPr>
        <w:t xml:space="preserve">to address the fragmented nature of the region’s civic structure.  Much of the first year’s effort was spent on building relationships of trust with Board members and their </w:t>
      </w:r>
      <w:r w:rsidR="00933D57" w:rsidRPr="005B1BF3">
        <w:rPr>
          <w:sz w:val="24"/>
          <w:szCs w:val="24"/>
        </w:rPr>
        <w:t xml:space="preserve">respective communities. The Director and PMO staff began the process </w:t>
      </w:r>
      <w:r w:rsidR="00030545" w:rsidRPr="005B1BF3">
        <w:rPr>
          <w:sz w:val="24"/>
          <w:szCs w:val="24"/>
        </w:rPr>
        <w:t xml:space="preserve">by interviewing each board member, and </w:t>
      </w:r>
      <w:r w:rsidR="00933D57" w:rsidRPr="005B1BF3">
        <w:rPr>
          <w:sz w:val="24"/>
          <w:szCs w:val="24"/>
        </w:rPr>
        <w:t>reaching out to individual communities</w:t>
      </w:r>
      <w:r w:rsidR="00030545" w:rsidRPr="005B1BF3">
        <w:rPr>
          <w:sz w:val="24"/>
          <w:szCs w:val="24"/>
        </w:rPr>
        <w:t xml:space="preserve"> and organizations</w:t>
      </w:r>
      <w:r w:rsidR="00933D57" w:rsidRPr="005B1BF3">
        <w:rPr>
          <w:sz w:val="24"/>
          <w:szCs w:val="24"/>
        </w:rPr>
        <w:t xml:space="preserve">, speaking to groups and individual across the region. The PMO adopted the “network of networks” approach to organizing the planning process, and identified and engaged with leaders—both formal and informal—in communities and organizations across the region. These individuals would later be asked to introduce </w:t>
      </w:r>
      <w:r w:rsidR="00382AD4" w:rsidRPr="005B1BF3">
        <w:rPr>
          <w:sz w:val="24"/>
          <w:szCs w:val="24"/>
        </w:rPr>
        <w:t xml:space="preserve">Consortium members to their </w:t>
      </w:r>
      <w:r w:rsidR="001D1FFC" w:rsidRPr="005B1BF3">
        <w:rPr>
          <w:sz w:val="24"/>
          <w:szCs w:val="24"/>
        </w:rPr>
        <w:t xml:space="preserve">respective communities and </w:t>
      </w:r>
      <w:r w:rsidR="00933D57" w:rsidRPr="005B1BF3">
        <w:rPr>
          <w:sz w:val="24"/>
          <w:szCs w:val="24"/>
        </w:rPr>
        <w:t xml:space="preserve">engage their constituencies in the scenario planning workshops and other events.  </w:t>
      </w:r>
    </w:p>
    <w:p w:rsidR="008B0D19" w:rsidRPr="005B1BF3" w:rsidRDefault="00782734" w:rsidP="001D1FFC">
      <w:pPr>
        <w:rPr>
          <w:b/>
          <w:sz w:val="24"/>
          <w:szCs w:val="24"/>
        </w:rPr>
      </w:pPr>
      <w:r w:rsidRPr="005B1BF3">
        <w:rPr>
          <w:sz w:val="24"/>
          <w:szCs w:val="24"/>
        </w:rPr>
        <w:t>On the administrative side,</w:t>
      </w:r>
      <w:r w:rsidR="00030545" w:rsidRPr="005B1BF3">
        <w:rPr>
          <w:sz w:val="24"/>
          <w:szCs w:val="24"/>
        </w:rPr>
        <w:t xml:space="preserve"> the PMO finalized procurement </w:t>
      </w:r>
      <w:r w:rsidRPr="005B1BF3">
        <w:rPr>
          <w:sz w:val="24"/>
          <w:szCs w:val="24"/>
        </w:rPr>
        <w:t xml:space="preserve">and reporting protocols, engaged an accounting firm to conduct the Consortium’s annual audit, and established a relationship with the  University of Akron to provide graduate student interns at no cost to the Consortium. </w:t>
      </w:r>
    </w:p>
    <w:p w:rsidR="008B0D19" w:rsidRPr="005B1BF3" w:rsidRDefault="008B0D19" w:rsidP="001D1FFC">
      <w:pPr>
        <w:rPr>
          <w:b/>
          <w:sz w:val="32"/>
          <w:szCs w:val="32"/>
        </w:rPr>
      </w:pPr>
    </w:p>
    <w:p w:rsidR="001D1FFC" w:rsidRDefault="001D1FFC" w:rsidP="005B1BF3">
      <w:pPr>
        <w:spacing w:after="0"/>
        <w:jc w:val="center"/>
        <w:rPr>
          <w:b/>
          <w:sz w:val="32"/>
          <w:szCs w:val="32"/>
        </w:rPr>
      </w:pPr>
      <w:r w:rsidRPr="005B1BF3">
        <w:rPr>
          <w:b/>
          <w:sz w:val="32"/>
          <w:szCs w:val="32"/>
        </w:rPr>
        <w:t>Year 2</w:t>
      </w:r>
      <w:r w:rsidR="00AD517F" w:rsidRPr="005B1BF3">
        <w:rPr>
          <w:b/>
          <w:sz w:val="32"/>
          <w:szCs w:val="32"/>
        </w:rPr>
        <w:t>/</w:t>
      </w:r>
      <w:r w:rsidRPr="005B1BF3">
        <w:rPr>
          <w:b/>
          <w:sz w:val="32"/>
          <w:szCs w:val="32"/>
        </w:rPr>
        <w:t xml:space="preserve">2012: Building the Foundations: </w:t>
      </w:r>
    </w:p>
    <w:p w:rsidR="005B1BF3" w:rsidRPr="005B1BF3" w:rsidRDefault="005B1BF3" w:rsidP="00856A2B">
      <w:pPr>
        <w:spacing w:after="0"/>
        <w:jc w:val="center"/>
        <w:rPr>
          <w:b/>
          <w:sz w:val="32"/>
          <w:szCs w:val="32"/>
        </w:rPr>
      </w:pPr>
    </w:p>
    <w:p w:rsidR="00856A2B" w:rsidRDefault="001D1FFC" w:rsidP="00856A2B">
      <w:pPr>
        <w:spacing w:after="0"/>
        <w:rPr>
          <w:sz w:val="24"/>
          <w:szCs w:val="24"/>
        </w:rPr>
      </w:pPr>
      <w:r w:rsidRPr="005B1BF3">
        <w:rPr>
          <w:sz w:val="24"/>
          <w:szCs w:val="24"/>
        </w:rPr>
        <w:t>The Consortium’s second year of operations was focused on completing the foundation of the VibrantNEO 2040 Vision and Framework and transitioning to a year of regional engagement and scenario planning. In the middle of this critical year, the Board and organization went through an exhaustive process of reframing its mission and recalibrating its work products to address concerns that the planning process be more inclusive</w:t>
      </w:r>
      <w:r w:rsidR="00B15FBA">
        <w:rPr>
          <w:sz w:val="24"/>
          <w:szCs w:val="24"/>
        </w:rPr>
        <w:t xml:space="preserve">, collaborative and </w:t>
      </w:r>
      <w:r w:rsidRPr="005B1BF3">
        <w:rPr>
          <w:sz w:val="24"/>
          <w:szCs w:val="24"/>
        </w:rPr>
        <w:t xml:space="preserve">pragmatic. This resulted in extensive revisions to the work program to address the Board’s desire for </w:t>
      </w:r>
      <w:r w:rsidRPr="00B15FBA">
        <w:rPr>
          <w:b/>
          <w:sz w:val="24"/>
          <w:szCs w:val="24"/>
        </w:rPr>
        <w:t>Action Products</w:t>
      </w:r>
      <w:r w:rsidRPr="005B1BF3">
        <w:rPr>
          <w:sz w:val="24"/>
          <w:szCs w:val="24"/>
        </w:rPr>
        <w:t xml:space="preserve"> in addition to a Vision and Framework and the reassignment of PMO staff to accommodate those needs. While, disruptive at the time, the revisions resulted in significant improvements to the somewhat generic work program and </w:t>
      </w:r>
      <w:r w:rsidR="00030545" w:rsidRPr="005B1BF3">
        <w:rPr>
          <w:sz w:val="24"/>
          <w:szCs w:val="24"/>
        </w:rPr>
        <w:t xml:space="preserve">produced four practical </w:t>
      </w:r>
      <w:r w:rsidR="00B15FBA">
        <w:rPr>
          <w:sz w:val="24"/>
          <w:szCs w:val="24"/>
        </w:rPr>
        <w:t>products</w:t>
      </w:r>
      <w:r w:rsidRPr="005B1BF3">
        <w:rPr>
          <w:sz w:val="24"/>
          <w:szCs w:val="24"/>
        </w:rPr>
        <w:t>—</w:t>
      </w:r>
      <w:r w:rsidRPr="00B15FBA">
        <w:rPr>
          <w:b/>
          <w:sz w:val="24"/>
          <w:szCs w:val="24"/>
        </w:rPr>
        <w:t>a Dashboard of Critical Indicators,</w:t>
      </w:r>
      <w:r w:rsidRPr="005B1BF3">
        <w:rPr>
          <w:sz w:val="24"/>
          <w:szCs w:val="24"/>
        </w:rPr>
        <w:t xml:space="preserve"> a </w:t>
      </w:r>
      <w:r w:rsidRPr="00B15FBA">
        <w:rPr>
          <w:b/>
          <w:sz w:val="24"/>
          <w:szCs w:val="24"/>
        </w:rPr>
        <w:t>Tool Kit of Best Practices</w:t>
      </w:r>
      <w:r w:rsidRPr="005B1BF3">
        <w:rPr>
          <w:sz w:val="24"/>
          <w:szCs w:val="24"/>
        </w:rPr>
        <w:t xml:space="preserve">,  </w:t>
      </w:r>
      <w:r w:rsidRPr="00B15FBA">
        <w:rPr>
          <w:b/>
          <w:sz w:val="24"/>
          <w:szCs w:val="24"/>
        </w:rPr>
        <w:t>Pilots</w:t>
      </w:r>
      <w:r w:rsidRPr="005B1BF3">
        <w:rPr>
          <w:sz w:val="24"/>
          <w:szCs w:val="24"/>
        </w:rPr>
        <w:t xml:space="preserve"> and </w:t>
      </w:r>
      <w:r w:rsidR="00B15FBA">
        <w:rPr>
          <w:b/>
          <w:sz w:val="24"/>
          <w:szCs w:val="24"/>
        </w:rPr>
        <w:t>Policy R</w:t>
      </w:r>
      <w:r w:rsidRPr="00B15FBA">
        <w:rPr>
          <w:b/>
          <w:sz w:val="24"/>
          <w:szCs w:val="24"/>
        </w:rPr>
        <w:t>ecommendations</w:t>
      </w:r>
      <w:r w:rsidRPr="005B1BF3">
        <w:rPr>
          <w:sz w:val="24"/>
          <w:szCs w:val="24"/>
        </w:rPr>
        <w:t>—that  were incorporated in the final Vision document and form the basis for action going forward.</w:t>
      </w:r>
    </w:p>
    <w:p w:rsidR="001D1FFC" w:rsidRPr="005B1BF3" w:rsidRDefault="001D1FFC" w:rsidP="00856A2B">
      <w:pPr>
        <w:spacing w:after="0"/>
        <w:rPr>
          <w:sz w:val="24"/>
          <w:szCs w:val="24"/>
        </w:rPr>
      </w:pPr>
      <w:r w:rsidRPr="005B1BF3">
        <w:rPr>
          <w:sz w:val="24"/>
          <w:szCs w:val="24"/>
        </w:rPr>
        <w:t xml:space="preserve"> </w:t>
      </w:r>
    </w:p>
    <w:p w:rsidR="00030545" w:rsidRPr="005B1BF3" w:rsidRDefault="003C4AE0" w:rsidP="00030545">
      <w:pPr>
        <w:jc w:val="center"/>
        <w:rPr>
          <w:b/>
          <w:sz w:val="24"/>
          <w:szCs w:val="24"/>
        </w:rPr>
      </w:pPr>
      <w:r w:rsidRPr="005B1BF3">
        <w:rPr>
          <w:b/>
          <w:sz w:val="24"/>
          <w:szCs w:val="24"/>
        </w:rPr>
        <w:t>First Half, 2012</w:t>
      </w:r>
    </w:p>
    <w:p w:rsidR="006A752A" w:rsidRPr="005B1BF3" w:rsidRDefault="005C3A50" w:rsidP="001D1FFC">
      <w:pPr>
        <w:rPr>
          <w:sz w:val="24"/>
          <w:szCs w:val="24"/>
        </w:rPr>
      </w:pPr>
      <w:r w:rsidRPr="005B1BF3">
        <w:rPr>
          <w:sz w:val="24"/>
          <w:szCs w:val="24"/>
        </w:rPr>
        <w:t>During th</w:t>
      </w:r>
      <w:r w:rsidR="003C4AE0" w:rsidRPr="005B1BF3">
        <w:rPr>
          <w:sz w:val="24"/>
          <w:szCs w:val="24"/>
        </w:rPr>
        <w:t xml:space="preserve">is period </w:t>
      </w:r>
      <w:r w:rsidRPr="005B1BF3">
        <w:rPr>
          <w:sz w:val="24"/>
          <w:szCs w:val="24"/>
        </w:rPr>
        <w:t xml:space="preserve">the </w:t>
      </w:r>
      <w:r w:rsidR="00242DF0" w:rsidRPr="005B1BF3">
        <w:rPr>
          <w:sz w:val="24"/>
          <w:szCs w:val="24"/>
        </w:rPr>
        <w:t>PMO expanded its staff to 10,</w:t>
      </w:r>
      <w:r w:rsidRPr="005B1BF3">
        <w:rPr>
          <w:sz w:val="24"/>
          <w:szCs w:val="24"/>
        </w:rPr>
        <w:t xml:space="preserve"> adding one part time employee and two interns. Each of the </w:t>
      </w:r>
      <w:r w:rsidR="006A752A" w:rsidRPr="005B1BF3">
        <w:rPr>
          <w:sz w:val="24"/>
          <w:szCs w:val="24"/>
        </w:rPr>
        <w:t>Workstream</w:t>
      </w:r>
      <w:r w:rsidRPr="005B1BF3">
        <w:rPr>
          <w:sz w:val="24"/>
          <w:szCs w:val="24"/>
        </w:rPr>
        <w:t xml:space="preserve">s completed their research and analysis of data in their respective subject areas. The resulting information was issued as the Consortium’s first work product, the </w:t>
      </w:r>
      <w:r w:rsidRPr="005B1BF3">
        <w:rPr>
          <w:b/>
          <w:sz w:val="24"/>
          <w:szCs w:val="24"/>
        </w:rPr>
        <w:t>Conditions and Trends Platform</w:t>
      </w:r>
      <w:r w:rsidRPr="005B1BF3">
        <w:rPr>
          <w:sz w:val="24"/>
          <w:szCs w:val="24"/>
        </w:rPr>
        <w:t xml:space="preserve">, the Consortium having decided to use the format of an on-line, updatable “platform” in contrast to a static, print report, to issue broad ranging findings about the region’s economy, environment, transportation systems, housing and communities and quality connected places.  </w:t>
      </w:r>
      <w:r w:rsidR="00A77073" w:rsidRPr="005B1BF3">
        <w:rPr>
          <w:sz w:val="24"/>
          <w:szCs w:val="24"/>
        </w:rPr>
        <w:t xml:space="preserve">This dynamic platform includes </w:t>
      </w:r>
      <w:r w:rsidRPr="005B1BF3">
        <w:rPr>
          <w:sz w:val="24"/>
          <w:szCs w:val="24"/>
        </w:rPr>
        <w:t>maps, data, and narrative analysis of the region during the period 1970 to 2010.</w:t>
      </w:r>
      <w:r w:rsidR="00A77073" w:rsidRPr="005B1BF3">
        <w:rPr>
          <w:sz w:val="24"/>
          <w:szCs w:val="24"/>
        </w:rPr>
        <w:t xml:space="preserve"> </w:t>
      </w:r>
    </w:p>
    <w:p w:rsidR="00A77073" w:rsidRPr="005B1BF3" w:rsidRDefault="00A77073" w:rsidP="001D1FFC">
      <w:pPr>
        <w:rPr>
          <w:sz w:val="24"/>
          <w:szCs w:val="24"/>
        </w:rPr>
      </w:pPr>
      <w:r w:rsidRPr="005B1BF3">
        <w:rPr>
          <w:sz w:val="24"/>
          <w:szCs w:val="24"/>
        </w:rPr>
        <w:t xml:space="preserve">The </w:t>
      </w:r>
      <w:r w:rsidR="005C3A50" w:rsidRPr="005B1BF3">
        <w:rPr>
          <w:sz w:val="24"/>
          <w:szCs w:val="24"/>
        </w:rPr>
        <w:t xml:space="preserve">Data/GIS team completed the </w:t>
      </w:r>
      <w:r w:rsidR="00030545" w:rsidRPr="005B1BF3">
        <w:rPr>
          <w:b/>
          <w:sz w:val="24"/>
          <w:szCs w:val="24"/>
        </w:rPr>
        <w:t>Regional Land U</w:t>
      </w:r>
      <w:r w:rsidR="005C3A50" w:rsidRPr="005B1BF3">
        <w:rPr>
          <w:b/>
          <w:sz w:val="24"/>
          <w:szCs w:val="24"/>
        </w:rPr>
        <w:t xml:space="preserve">se and </w:t>
      </w:r>
      <w:r w:rsidR="00030545" w:rsidRPr="005B1BF3">
        <w:rPr>
          <w:b/>
          <w:sz w:val="24"/>
          <w:szCs w:val="24"/>
        </w:rPr>
        <w:t>Z</w:t>
      </w:r>
      <w:r w:rsidR="005C3A50" w:rsidRPr="005B1BF3">
        <w:rPr>
          <w:b/>
          <w:sz w:val="24"/>
          <w:szCs w:val="24"/>
        </w:rPr>
        <w:t xml:space="preserve">oning </w:t>
      </w:r>
      <w:r w:rsidR="00030545" w:rsidRPr="005B1BF3">
        <w:rPr>
          <w:b/>
          <w:sz w:val="24"/>
          <w:szCs w:val="24"/>
        </w:rPr>
        <w:t>M</w:t>
      </w:r>
      <w:r w:rsidR="005C3A50" w:rsidRPr="005B1BF3">
        <w:rPr>
          <w:b/>
          <w:sz w:val="24"/>
          <w:szCs w:val="24"/>
        </w:rPr>
        <w:t>aps</w:t>
      </w:r>
      <w:r w:rsidR="006A752A" w:rsidRPr="005B1BF3">
        <w:rPr>
          <w:sz w:val="24"/>
          <w:szCs w:val="24"/>
        </w:rPr>
        <w:t xml:space="preserve"> in July, culminating a</w:t>
      </w:r>
      <w:r w:rsidR="00030545" w:rsidRPr="005B1BF3">
        <w:rPr>
          <w:sz w:val="24"/>
          <w:szCs w:val="24"/>
        </w:rPr>
        <w:t xml:space="preserve"> </w:t>
      </w:r>
      <w:r w:rsidR="006A752A" w:rsidRPr="005B1BF3">
        <w:rPr>
          <w:sz w:val="24"/>
          <w:szCs w:val="24"/>
        </w:rPr>
        <w:t xml:space="preserve"> 5-month collaboration and providing base data essential to the subsequent scenario planning phase of the Consortium’s work</w:t>
      </w:r>
      <w:r w:rsidR="005C3A50" w:rsidRPr="005B1BF3">
        <w:rPr>
          <w:sz w:val="24"/>
          <w:szCs w:val="24"/>
        </w:rPr>
        <w:t xml:space="preserve">. </w:t>
      </w:r>
      <w:r w:rsidRPr="005B1BF3">
        <w:rPr>
          <w:sz w:val="24"/>
          <w:szCs w:val="24"/>
        </w:rPr>
        <w:t xml:space="preserve"> These </w:t>
      </w:r>
      <w:r w:rsidR="006A752A" w:rsidRPr="005B1BF3">
        <w:rPr>
          <w:sz w:val="24"/>
          <w:szCs w:val="24"/>
        </w:rPr>
        <w:t xml:space="preserve">maps </w:t>
      </w:r>
      <w:r w:rsidRPr="005B1BF3">
        <w:rPr>
          <w:sz w:val="24"/>
          <w:szCs w:val="24"/>
        </w:rPr>
        <w:t xml:space="preserve">were posted as PDFs on the Consortium’s website and elicited expressions of interest from those wanting to have access to the information as an interactive planning tool. </w:t>
      </w:r>
    </w:p>
    <w:p w:rsidR="006A752A" w:rsidRPr="005B1BF3" w:rsidRDefault="006A752A" w:rsidP="001D1FFC">
      <w:pPr>
        <w:rPr>
          <w:sz w:val="24"/>
          <w:szCs w:val="24"/>
        </w:rPr>
      </w:pPr>
      <w:r w:rsidRPr="005B1BF3">
        <w:rPr>
          <w:sz w:val="24"/>
          <w:szCs w:val="24"/>
        </w:rPr>
        <w:t xml:space="preserve">During this period, the five subject matter workstreams identified themes that were later to be developed during the scenario planning process. These included the importance of job centers and corridors (Economic Development), </w:t>
      </w:r>
      <w:r w:rsidR="00782734" w:rsidRPr="005B1BF3">
        <w:rPr>
          <w:sz w:val="24"/>
          <w:szCs w:val="24"/>
        </w:rPr>
        <w:t xml:space="preserve"> the need for a regional approach to providing transit services (Connections), the importance of addressing air and water quality regionally (Environments), the need to integrate Fair Housing policies into the region’s planning (Housing and Communities), and the nature of “Green/Blue Places” (Quality Connected Places). </w:t>
      </w:r>
    </w:p>
    <w:p w:rsidR="001C1B7E" w:rsidRPr="005B1BF3" w:rsidRDefault="005C3A50" w:rsidP="001D1FFC">
      <w:pPr>
        <w:rPr>
          <w:sz w:val="24"/>
          <w:szCs w:val="24"/>
        </w:rPr>
      </w:pPr>
      <w:r w:rsidRPr="005B1BF3">
        <w:rPr>
          <w:sz w:val="24"/>
          <w:szCs w:val="24"/>
        </w:rPr>
        <w:t xml:space="preserve">The </w:t>
      </w:r>
      <w:r w:rsidR="00A77073" w:rsidRPr="005B1BF3">
        <w:rPr>
          <w:sz w:val="24"/>
          <w:szCs w:val="24"/>
        </w:rPr>
        <w:t xml:space="preserve">Communications and Engagement </w:t>
      </w:r>
      <w:r w:rsidRPr="005B1BF3">
        <w:rPr>
          <w:sz w:val="24"/>
          <w:szCs w:val="24"/>
        </w:rPr>
        <w:t xml:space="preserve">Committee and PMO staff operationalized their plan, establishing </w:t>
      </w:r>
      <w:r w:rsidRPr="005B1BF3">
        <w:rPr>
          <w:b/>
          <w:sz w:val="24"/>
          <w:szCs w:val="24"/>
        </w:rPr>
        <w:t>V</w:t>
      </w:r>
      <w:r w:rsidR="00A77073" w:rsidRPr="005B1BF3">
        <w:rPr>
          <w:b/>
          <w:sz w:val="24"/>
          <w:szCs w:val="24"/>
        </w:rPr>
        <w:t>ibrantNEO</w:t>
      </w:r>
      <w:r w:rsidR="00B15FBA">
        <w:rPr>
          <w:b/>
          <w:sz w:val="24"/>
          <w:szCs w:val="24"/>
        </w:rPr>
        <w:t>.org</w:t>
      </w:r>
      <w:r w:rsidR="00A77073" w:rsidRPr="005B1BF3">
        <w:rPr>
          <w:b/>
          <w:sz w:val="24"/>
          <w:szCs w:val="24"/>
        </w:rPr>
        <w:t xml:space="preserve"> </w:t>
      </w:r>
      <w:r w:rsidR="00A77073" w:rsidRPr="005B1BF3">
        <w:rPr>
          <w:sz w:val="24"/>
          <w:szCs w:val="24"/>
        </w:rPr>
        <w:t>as an interactive website</w:t>
      </w:r>
      <w:r w:rsidRPr="005B1BF3">
        <w:rPr>
          <w:sz w:val="24"/>
          <w:szCs w:val="24"/>
        </w:rPr>
        <w:t xml:space="preserve"> that encourages conversation on topics of sustainability and resilience and organizes information in multiple ways. </w:t>
      </w:r>
      <w:r w:rsidR="00A77073" w:rsidRPr="005B1BF3">
        <w:rPr>
          <w:sz w:val="24"/>
          <w:szCs w:val="24"/>
        </w:rPr>
        <w:t xml:space="preserve"> </w:t>
      </w:r>
      <w:r w:rsidR="001C1B7E" w:rsidRPr="005B1BF3">
        <w:rPr>
          <w:sz w:val="24"/>
          <w:szCs w:val="24"/>
        </w:rPr>
        <w:t xml:space="preserve">To encourage interaction with the VibrantNEO initiative, the PMO developed the </w:t>
      </w:r>
      <w:r w:rsidR="001C1B7E" w:rsidRPr="005B1BF3">
        <w:rPr>
          <w:b/>
          <w:sz w:val="24"/>
          <w:szCs w:val="24"/>
        </w:rPr>
        <w:t>MyNEO</w:t>
      </w:r>
      <w:r w:rsidR="001C1B7E" w:rsidRPr="005B1BF3">
        <w:rPr>
          <w:sz w:val="24"/>
          <w:szCs w:val="24"/>
        </w:rPr>
        <w:t xml:space="preserve"> and </w:t>
      </w:r>
      <w:r w:rsidR="001C1B7E" w:rsidRPr="005B1BF3">
        <w:rPr>
          <w:b/>
          <w:sz w:val="24"/>
          <w:szCs w:val="24"/>
        </w:rPr>
        <w:t>Did you k(NEO)</w:t>
      </w:r>
      <w:r w:rsidR="001C1B7E" w:rsidRPr="005B1BF3">
        <w:rPr>
          <w:sz w:val="24"/>
          <w:szCs w:val="24"/>
        </w:rPr>
        <w:t xml:space="preserve"> programs that provided </w:t>
      </w:r>
      <w:r w:rsidR="006A752A" w:rsidRPr="005B1BF3">
        <w:rPr>
          <w:sz w:val="24"/>
          <w:szCs w:val="24"/>
        </w:rPr>
        <w:t xml:space="preserve">key factoids about the region and its assets. </w:t>
      </w:r>
    </w:p>
    <w:p w:rsidR="006A752A" w:rsidRPr="005B1BF3" w:rsidRDefault="00A77073" w:rsidP="001D1FFC">
      <w:pPr>
        <w:rPr>
          <w:sz w:val="24"/>
          <w:szCs w:val="24"/>
        </w:rPr>
      </w:pPr>
      <w:r w:rsidRPr="005B1BF3">
        <w:rPr>
          <w:sz w:val="24"/>
          <w:szCs w:val="24"/>
        </w:rPr>
        <w:t xml:space="preserve">The Consortium conducted is first of two Young Professionals outreach events, engaging 330 YPs in sessions in Akron, Canton, Cleveland, Lorain, and Youngstown.  The PMO, Executive Director and Board members participated in 120 meetings, briefings, forums and conferences during this period, using each as an opportunity to introduce the Vibrant </w:t>
      </w:r>
      <w:r w:rsidR="001C1B7E" w:rsidRPr="005B1BF3">
        <w:rPr>
          <w:sz w:val="24"/>
          <w:szCs w:val="24"/>
        </w:rPr>
        <w:t xml:space="preserve">NEO initiative to the audience </w:t>
      </w:r>
      <w:r w:rsidRPr="005B1BF3">
        <w:rPr>
          <w:sz w:val="24"/>
          <w:szCs w:val="24"/>
        </w:rPr>
        <w:t xml:space="preserve">and participants. </w:t>
      </w:r>
      <w:r w:rsidR="001C1B7E" w:rsidRPr="005B1BF3">
        <w:rPr>
          <w:sz w:val="24"/>
          <w:szCs w:val="24"/>
        </w:rPr>
        <w:t xml:space="preserve">During this period, the PMO made 32 presentations, engaging over 500 people from fields ranging from home builders and affordable housing advocates to health district officers and grantmakers.  </w:t>
      </w:r>
      <w:r w:rsidR="00782734" w:rsidRPr="005B1BF3">
        <w:rPr>
          <w:sz w:val="24"/>
          <w:szCs w:val="24"/>
        </w:rPr>
        <w:t xml:space="preserve">The </w:t>
      </w:r>
      <w:r w:rsidR="00DF0099" w:rsidRPr="005B1BF3">
        <w:rPr>
          <w:sz w:val="24"/>
          <w:szCs w:val="24"/>
        </w:rPr>
        <w:t>Consortium</w:t>
      </w:r>
      <w:r w:rsidR="00782734" w:rsidRPr="005B1BF3">
        <w:rPr>
          <w:sz w:val="24"/>
          <w:szCs w:val="24"/>
        </w:rPr>
        <w:t xml:space="preserve"> Board and staff made the first of it</w:t>
      </w:r>
      <w:r w:rsidR="00030545" w:rsidRPr="005B1BF3">
        <w:rPr>
          <w:sz w:val="24"/>
          <w:szCs w:val="24"/>
        </w:rPr>
        <w:t>s</w:t>
      </w:r>
      <w:r w:rsidR="00782734" w:rsidRPr="005B1BF3">
        <w:rPr>
          <w:sz w:val="24"/>
          <w:szCs w:val="24"/>
        </w:rPr>
        <w:t xml:space="preserve"> </w:t>
      </w:r>
      <w:r w:rsidR="00782734" w:rsidRPr="005B1BF3">
        <w:rPr>
          <w:b/>
          <w:sz w:val="24"/>
          <w:szCs w:val="24"/>
        </w:rPr>
        <w:t>“12 counties in 12 months”</w:t>
      </w:r>
      <w:r w:rsidR="00782734" w:rsidRPr="005B1BF3">
        <w:rPr>
          <w:sz w:val="24"/>
          <w:szCs w:val="24"/>
        </w:rPr>
        <w:t xml:space="preserve"> tours, scheduling these events to in the morning proceeding the monthly Board meeting. The first tour was in Youngstown. </w:t>
      </w:r>
    </w:p>
    <w:p w:rsidR="001C1B7E" w:rsidRPr="005B1BF3" w:rsidRDefault="006A752A" w:rsidP="001D1FFC">
      <w:pPr>
        <w:rPr>
          <w:sz w:val="24"/>
          <w:szCs w:val="24"/>
        </w:rPr>
      </w:pPr>
      <w:r w:rsidRPr="005B1BF3">
        <w:rPr>
          <w:sz w:val="24"/>
          <w:szCs w:val="24"/>
        </w:rPr>
        <w:t xml:space="preserve">The </w:t>
      </w:r>
      <w:r w:rsidR="001C1B7E" w:rsidRPr="005B1BF3">
        <w:rPr>
          <w:sz w:val="24"/>
          <w:szCs w:val="24"/>
        </w:rPr>
        <w:t>PMO engaged local press outlets, receiving significant coverage from the Cleveland Plain Dealer, the region’s largest newspaper.</w:t>
      </w:r>
      <w:r w:rsidRPr="005B1BF3">
        <w:rPr>
          <w:sz w:val="24"/>
          <w:szCs w:val="24"/>
        </w:rPr>
        <w:t xml:space="preserve"> It also issued 6 </w:t>
      </w:r>
      <w:r w:rsidRPr="005B1BF3">
        <w:rPr>
          <w:b/>
          <w:sz w:val="24"/>
          <w:szCs w:val="24"/>
        </w:rPr>
        <w:t>monthly newsletters</w:t>
      </w:r>
      <w:r w:rsidRPr="005B1BF3">
        <w:rPr>
          <w:sz w:val="24"/>
          <w:szCs w:val="24"/>
        </w:rPr>
        <w:t xml:space="preserve">, growing its audience from an initial group of 200 readers to over 800. </w:t>
      </w:r>
    </w:p>
    <w:p w:rsidR="004C0A68" w:rsidRPr="00952FFF" w:rsidRDefault="00A77073" w:rsidP="007E4D0A">
      <w:pPr>
        <w:rPr>
          <w:sz w:val="24"/>
          <w:szCs w:val="24"/>
        </w:rPr>
      </w:pPr>
      <w:r w:rsidRPr="005B1BF3">
        <w:rPr>
          <w:sz w:val="24"/>
          <w:szCs w:val="24"/>
        </w:rPr>
        <w:t>The PMO engaged local consultants to manage the Consortium’s commun</w:t>
      </w:r>
      <w:r w:rsidR="00B15FBA">
        <w:rPr>
          <w:sz w:val="24"/>
          <w:szCs w:val="24"/>
        </w:rPr>
        <w:t>ications and engagement program</w:t>
      </w:r>
      <w:r w:rsidRPr="005B1BF3">
        <w:rPr>
          <w:sz w:val="24"/>
          <w:szCs w:val="24"/>
        </w:rPr>
        <w:t xml:space="preserve">, develop its web page, and undertake market research, and provide board facilitation services.  These consultant teams expanded the capacity and reach of the PMO’s small professional staff and were critical to developing the strategy for undertaking a region-wide scenario planning process. </w:t>
      </w:r>
      <w:r w:rsidR="001C1B7E" w:rsidRPr="005B1BF3">
        <w:rPr>
          <w:sz w:val="24"/>
          <w:szCs w:val="24"/>
        </w:rPr>
        <w:t xml:space="preserve">  In order to establish a base line for its Engageme</w:t>
      </w:r>
      <w:r w:rsidR="006A752A" w:rsidRPr="005B1BF3">
        <w:rPr>
          <w:sz w:val="24"/>
          <w:szCs w:val="24"/>
        </w:rPr>
        <w:t xml:space="preserve">nt program, the PMO conduced and published the first of two </w:t>
      </w:r>
      <w:r w:rsidR="00952FFF">
        <w:rPr>
          <w:sz w:val="24"/>
          <w:szCs w:val="24"/>
        </w:rPr>
        <w:t>regional public opinion p</w:t>
      </w:r>
      <w:r w:rsidR="006A752A" w:rsidRPr="00952FFF">
        <w:rPr>
          <w:sz w:val="24"/>
          <w:szCs w:val="24"/>
        </w:rPr>
        <w:t>olls</w:t>
      </w:r>
      <w:r w:rsidR="006A752A" w:rsidRPr="005B1BF3">
        <w:rPr>
          <w:sz w:val="24"/>
          <w:szCs w:val="24"/>
        </w:rPr>
        <w:t xml:space="preserve">. These identified broad values, shared concerns and critical issues of importance to the region’s citizens. </w:t>
      </w:r>
      <w:r w:rsidR="00B15FBA">
        <w:rPr>
          <w:sz w:val="24"/>
          <w:szCs w:val="24"/>
        </w:rPr>
        <w:t>The fir</w:t>
      </w:r>
      <w:r w:rsidR="00952FFF">
        <w:rPr>
          <w:sz w:val="24"/>
          <w:szCs w:val="24"/>
        </w:rPr>
        <w:t xml:space="preserve">st survey, the </w:t>
      </w:r>
      <w:r w:rsidR="00952FFF">
        <w:rPr>
          <w:b/>
          <w:sz w:val="24"/>
          <w:szCs w:val="24"/>
        </w:rPr>
        <w:t>Benchmark Survey</w:t>
      </w:r>
      <w:r w:rsidR="00952FFF">
        <w:rPr>
          <w:sz w:val="24"/>
          <w:szCs w:val="24"/>
        </w:rPr>
        <w:t xml:space="preserve">, was conducted in April 2012. This focused on establishing baseline information and assessing existing conditions and trends both in the Northeast Ohio region and in the area where the respondent lives. </w:t>
      </w:r>
    </w:p>
    <w:p w:rsidR="006A752A" w:rsidRPr="005B1BF3" w:rsidRDefault="006A752A" w:rsidP="007E4D0A">
      <w:pPr>
        <w:rPr>
          <w:sz w:val="24"/>
          <w:szCs w:val="24"/>
        </w:rPr>
      </w:pPr>
      <w:r w:rsidRPr="005B1BF3">
        <w:rPr>
          <w:sz w:val="24"/>
          <w:szCs w:val="24"/>
        </w:rPr>
        <w:t xml:space="preserve">The PMO began the scenario planning process by participating in a webinar conducted by FHWA and participating in a scenario planning workshop in Detroit. Staff shared the results with the Board, initiating the process of educating members on the use of this technique and its importance in fulfilling the intent of the Sustainable Communities grant. </w:t>
      </w:r>
    </w:p>
    <w:p w:rsidR="00663D97" w:rsidRDefault="00782734" w:rsidP="005B1BF3">
      <w:pPr>
        <w:spacing w:after="0"/>
        <w:rPr>
          <w:sz w:val="24"/>
          <w:szCs w:val="24"/>
        </w:rPr>
      </w:pPr>
      <w:r w:rsidRPr="005B1BF3">
        <w:rPr>
          <w:sz w:val="24"/>
          <w:szCs w:val="24"/>
        </w:rPr>
        <w:t xml:space="preserve">On the administrative side, the PMO worked with HUD to increase the Consortium’s drawdown rate, attained 501(c)3 non-profit status,  and finalized and submitted the Logic Model. </w:t>
      </w:r>
    </w:p>
    <w:p w:rsidR="005B1BF3" w:rsidRPr="005B1BF3" w:rsidRDefault="005B1BF3" w:rsidP="007E4D0A">
      <w:pPr>
        <w:rPr>
          <w:sz w:val="24"/>
          <w:szCs w:val="24"/>
        </w:rPr>
      </w:pPr>
    </w:p>
    <w:p w:rsidR="00030545" w:rsidRPr="005B1BF3" w:rsidRDefault="00030545" w:rsidP="00030545">
      <w:pPr>
        <w:jc w:val="center"/>
        <w:rPr>
          <w:b/>
          <w:sz w:val="24"/>
          <w:szCs w:val="24"/>
        </w:rPr>
      </w:pPr>
      <w:r w:rsidRPr="005B1BF3">
        <w:rPr>
          <w:b/>
          <w:sz w:val="24"/>
          <w:szCs w:val="24"/>
        </w:rPr>
        <w:t>Second Half, 2012</w:t>
      </w:r>
    </w:p>
    <w:p w:rsidR="00DF0099" w:rsidRPr="005B1BF3" w:rsidRDefault="00663D97" w:rsidP="00663D97">
      <w:pPr>
        <w:rPr>
          <w:sz w:val="24"/>
          <w:szCs w:val="24"/>
        </w:rPr>
      </w:pPr>
      <w:r w:rsidRPr="005B1BF3">
        <w:rPr>
          <w:sz w:val="24"/>
          <w:szCs w:val="24"/>
        </w:rPr>
        <w:t>During th</w:t>
      </w:r>
      <w:r w:rsidR="00030545" w:rsidRPr="005B1BF3">
        <w:rPr>
          <w:sz w:val="24"/>
          <w:szCs w:val="24"/>
        </w:rPr>
        <w:t>is period</w:t>
      </w:r>
      <w:r w:rsidRPr="005B1BF3">
        <w:rPr>
          <w:sz w:val="24"/>
          <w:szCs w:val="24"/>
        </w:rPr>
        <w:t xml:space="preserve"> </w:t>
      </w:r>
      <w:r w:rsidR="00242DF0" w:rsidRPr="005B1BF3">
        <w:rPr>
          <w:sz w:val="24"/>
          <w:szCs w:val="24"/>
        </w:rPr>
        <w:t>the Consortium expanded its staff to 12, adding two interns</w:t>
      </w:r>
      <w:r w:rsidR="00DF0099" w:rsidRPr="005B1BF3">
        <w:rPr>
          <w:sz w:val="24"/>
          <w:szCs w:val="24"/>
        </w:rPr>
        <w:t xml:space="preserve">. It continued to expand its outreach and engagement and prepare for the scenario planning phase of the initiative. The Consortium commenced work on the </w:t>
      </w:r>
      <w:r w:rsidR="00DF0099" w:rsidRPr="005B1BF3">
        <w:rPr>
          <w:b/>
          <w:sz w:val="24"/>
          <w:szCs w:val="24"/>
        </w:rPr>
        <w:t>Regional Assessment of Impediments to Fair Housing</w:t>
      </w:r>
      <w:r w:rsidR="00011D84" w:rsidRPr="005B1BF3">
        <w:rPr>
          <w:b/>
          <w:sz w:val="24"/>
          <w:szCs w:val="24"/>
        </w:rPr>
        <w:t xml:space="preserve"> and Fair Housing Equity Assessment </w:t>
      </w:r>
      <w:r w:rsidR="00DF0099" w:rsidRPr="005B1BF3">
        <w:rPr>
          <w:sz w:val="24"/>
          <w:szCs w:val="24"/>
        </w:rPr>
        <w:t>engaging a national consulting firm and completing data collection. The firm, Western Economic Services, was instructed to develop its data and analysis using the county- and metro-based geographic framework employed by the workstreams. This protocol would ensure compatibility between their work and that of the scenario planning consultant.</w:t>
      </w:r>
    </w:p>
    <w:p w:rsidR="008B0D19" w:rsidRPr="005B1BF3" w:rsidRDefault="00DF0099" w:rsidP="00663D97">
      <w:pPr>
        <w:rPr>
          <w:sz w:val="24"/>
          <w:szCs w:val="24"/>
        </w:rPr>
      </w:pPr>
      <w:r w:rsidRPr="005B1BF3">
        <w:rPr>
          <w:sz w:val="24"/>
          <w:szCs w:val="24"/>
        </w:rPr>
        <w:t xml:space="preserve">The principal work undertaking during this period was gearing up for the scenario planning phase of work. The Consortium took advantage of HUD-provided technical assistance to offer the Board and staff a day-long briefing on the methodology. The Consortium identified the need to link the scenario planning process with fiscal impact analysis in order to ground the geographically-based planning in the fiscal realities facing the region. </w:t>
      </w:r>
    </w:p>
    <w:p w:rsidR="00DF0099" w:rsidRPr="005B1BF3" w:rsidRDefault="00DF0099" w:rsidP="00663D97">
      <w:pPr>
        <w:rPr>
          <w:sz w:val="24"/>
          <w:szCs w:val="24"/>
        </w:rPr>
      </w:pPr>
      <w:r w:rsidRPr="005B1BF3">
        <w:rPr>
          <w:sz w:val="24"/>
          <w:szCs w:val="24"/>
        </w:rPr>
        <w:t xml:space="preserve">The Consortium also identified the need to strengthen the Consortium’s project management capacity </w:t>
      </w:r>
      <w:r w:rsidR="00D7592E" w:rsidRPr="005B1BF3">
        <w:rPr>
          <w:sz w:val="24"/>
          <w:szCs w:val="24"/>
        </w:rPr>
        <w:t xml:space="preserve">and augment in-house and in-kind talent with contact PM services before undertaking a technically complex and geographically ambitious planning process.  The Consortium solicited consultant teams to perform this work, in part or in whole. Following an extensive selection process, the Consortium entered into contract with Sasaki Associates to perform all three principal tasks and to manage both a team of local sub-consultants and PMO staff assigned to the work on Action Products. NOACA, for its part, augmented the PMO’s project management capacity by assigning as senior planner the project on a full-time basis. </w:t>
      </w:r>
    </w:p>
    <w:p w:rsidR="00DA07AF" w:rsidRPr="005B1BF3" w:rsidRDefault="00D7592E" w:rsidP="00663D97">
      <w:pPr>
        <w:rPr>
          <w:sz w:val="24"/>
          <w:szCs w:val="24"/>
        </w:rPr>
      </w:pPr>
      <w:r w:rsidRPr="005B1BF3">
        <w:rPr>
          <w:sz w:val="24"/>
          <w:szCs w:val="24"/>
        </w:rPr>
        <w:t xml:space="preserve">During this period, the PMO conducted a second round of Young Professional events and had a second 12 counties in 12 months board tour. It presented the Conditions and Trends Platform to </w:t>
      </w:r>
      <w:r w:rsidR="00DA07AF" w:rsidRPr="005B1BF3">
        <w:rPr>
          <w:sz w:val="24"/>
          <w:szCs w:val="24"/>
        </w:rPr>
        <w:t xml:space="preserve">over 600 people in 27 separate audiences. </w:t>
      </w:r>
    </w:p>
    <w:p w:rsidR="00D7592E" w:rsidRPr="005B1BF3" w:rsidRDefault="00DA07AF" w:rsidP="00663D97">
      <w:pPr>
        <w:rPr>
          <w:sz w:val="24"/>
          <w:szCs w:val="24"/>
        </w:rPr>
      </w:pPr>
      <w:r w:rsidRPr="005B1BF3">
        <w:rPr>
          <w:sz w:val="24"/>
          <w:szCs w:val="24"/>
        </w:rPr>
        <w:t xml:space="preserve">The PMO staff moved from the data collection and analysis work required to produce the Condition and Trends Platform to commencing the development of the four </w:t>
      </w:r>
      <w:r w:rsidRPr="00B15FBA">
        <w:rPr>
          <w:sz w:val="24"/>
          <w:szCs w:val="24"/>
        </w:rPr>
        <w:t xml:space="preserve">Action </w:t>
      </w:r>
      <w:r w:rsidR="00B15FBA" w:rsidRPr="00B15FBA">
        <w:rPr>
          <w:sz w:val="24"/>
          <w:szCs w:val="24"/>
        </w:rPr>
        <w:t>Products</w:t>
      </w:r>
      <w:r w:rsidRPr="005B1BF3">
        <w:rPr>
          <w:sz w:val="24"/>
          <w:szCs w:val="24"/>
        </w:rPr>
        <w:t xml:space="preserve"> identified during the Board-led reformulation of the Consortium’s work program. Volunteer </w:t>
      </w:r>
      <w:r w:rsidRPr="00B15FBA">
        <w:rPr>
          <w:sz w:val="24"/>
          <w:szCs w:val="24"/>
          <w:u w:val="single"/>
        </w:rPr>
        <w:t>“Working Groups”</w:t>
      </w:r>
      <w:r w:rsidRPr="005B1BF3">
        <w:rPr>
          <w:sz w:val="24"/>
          <w:szCs w:val="24"/>
        </w:rPr>
        <w:t xml:space="preserve"> were convened to undertake each of the four Tools: a Dashboard of Critical Indicators, a Tool Kit of Best and Promising Practices, a set of existing and potential Pilots, and a set of Policy Recommendations. PMO staff worked to inform the Workstream members of the transition in the Consortium’s work program and invited them to participate in the new Working Groups. </w:t>
      </w:r>
    </w:p>
    <w:p w:rsidR="00190E70" w:rsidRPr="005B1BF3" w:rsidRDefault="00DA07AF" w:rsidP="00663D97">
      <w:pPr>
        <w:rPr>
          <w:sz w:val="24"/>
          <w:szCs w:val="24"/>
        </w:rPr>
      </w:pPr>
      <w:r w:rsidRPr="005B1BF3">
        <w:rPr>
          <w:sz w:val="24"/>
          <w:szCs w:val="24"/>
        </w:rPr>
        <w:t xml:space="preserve">While four of the five subject matter Workstreams completed their work and disbanded during this period, the Quality Connected Places Workstream continued. This phasing was intentional as the Consortium intended that the QCP Workstream assimilate the work of the other four groups and address the impact of their findings on the 400 individual communities in Northeast Ohio. </w:t>
      </w:r>
      <w:r w:rsidR="00190E70" w:rsidRPr="005B1BF3">
        <w:rPr>
          <w:sz w:val="24"/>
          <w:szCs w:val="24"/>
        </w:rPr>
        <w:t>In order to do this the QCP gro</w:t>
      </w:r>
      <w:r w:rsidR="008B0D19" w:rsidRPr="005B1BF3">
        <w:rPr>
          <w:sz w:val="24"/>
          <w:szCs w:val="24"/>
        </w:rPr>
        <w:t xml:space="preserve">up and the staff assigned to it </w:t>
      </w:r>
      <w:r w:rsidR="00190E70" w:rsidRPr="005B1BF3">
        <w:rPr>
          <w:sz w:val="24"/>
          <w:szCs w:val="24"/>
        </w:rPr>
        <w:t xml:space="preserve">analyzed socio-economic and physical characteristics of each community, plotted its development history, </w:t>
      </w:r>
      <w:r w:rsidR="008B0D19" w:rsidRPr="005B1BF3">
        <w:rPr>
          <w:sz w:val="24"/>
          <w:szCs w:val="24"/>
        </w:rPr>
        <w:t xml:space="preserve">created a </w:t>
      </w:r>
      <w:r w:rsidR="00190E70" w:rsidRPr="005B1BF3">
        <w:rPr>
          <w:sz w:val="24"/>
          <w:szCs w:val="24"/>
        </w:rPr>
        <w:t xml:space="preserve"> “</w:t>
      </w:r>
      <w:r w:rsidR="008B0D19" w:rsidRPr="005B1BF3">
        <w:rPr>
          <w:b/>
          <w:sz w:val="24"/>
          <w:szCs w:val="24"/>
        </w:rPr>
        <w:t>S</w:t>
      </w:r>
      <w:r w:rsidR="00190E70" w:rsidRPr="005B1BF3">
        <w:rPr>
          <w:b/>
          <w:sz w:val="24"/>
          <w:szCs w:val="24"/>
        </w:rPr>
        <w:t xml:space="preserve">imilar </w:t>
      </w:r>
      <w:r w:rsidR="008B0D19" w:rsidRPr="005B1BF3">
        <w:rPr>
          <w:b/>
          <w:sz w:val="24"/>
          <w:szCs w:val="24"/>
        </w:rPr>
        <w:t>C</w:t>
      </w:r>
      <w:r w:rsidR="00190E70" w:rsidRPr="005B1BF3">
        <w:rPr>
          <w:b/>
          <w:sz w:val="24"/>
          <w:szCs w:val="24"/>
        </w:rPr>
        <w:t>ommunities</w:t>
      </w:r>
      <w:r w:rsidR="008B0D19" w:rsidRPr="005B1BF3">
        <w:rPr>
          <w:b/>
          <w:sz w:val="24"/>
          <w:szCs w:val="24"/>
        </w:rPr>
        <w:t xml:space="preserve"> Typology </w:t>
      </w:r>
      <w:r w:rsidR="00190E70" w:rsidRPr="005B1BF3">
        <w:rPr>
          <w:sz w:val="24"/>
          <w:szCs w:val="24"/>
        </w:rPr>
        <w:t>” to identify overarching characteristics of discrete place types, and completed a regional assessment of Community Assets.  Staff developed “</w:t>
      </w:r>
      <w:r w:rsidR="00190E70" w:rsidRPr="005B1BF3">
        <w:rPr>
          <w:b/>
          <w:sz w:val="24"/>
          <w:szCs w:val="24"/>
        </w:rPr>
        <w:t>Asset Cluster Maps”</w:t>
      </w:r>
      <w:r w:rsidR="00190E70" w:rsidRPr="005B1BF3">
        <w:rPr>
          <w:sz w:val="24"/>
          <w:szCs w:val="24"/>
        </w:rPr>
        <w:t xml:space="preserve"> plotting the configuration of assets in 28 communities. </w:t>
      </w:r>
    </w:p>
    <w:p w:rsidR="00DA07AF" w:rsidRPr="005B1BF3" w:rsidRDefault="00190E70" w:rsidP="00663D97">
      <w:pPr>
        <w:rPr>
          <w:sz w:val="24"/>
          <w:szCs w:val="24"/>
        </w:rPr>
      </w:pPr>
      <w:r w:rsidRPr="005B1BF3">
        <w:rPr>
          <w:sz w:val="24"/>
          <w:szCs w:val="24"/>
        </w:rPr>
        <w:t xml:space="preserve">The Workstream tested the efficacy of its typology of place by conducting a half-day charrette during which participants analyzed challenges and recommended interventions for six community types based on real places found in the region.  Approximately 60 people attended the charrette held in Akron. </w:t>
      </w:r>
    </w:p>
    <w:p w:rsidR="008B0D19" w:rsidRPr="005B1BF3" w:rsidRDefault="00FE3076" w:rsidP="00663D97">
      <w:pPr>
        <w:rPr>
          <w:sz w:val="24"/>
          <w:szCs w:val="24"/>
        </w:rPr>
      </w:pPr>
      <w:r w:rsidRPr="005B1BF3">
        <w:rPr>
          <w:sz w:val="24"/>
          <w:szCs w:val="24"/>
        </w:rPr>
        <w:t>On the administrative side, the PMO continued</w:t>
      </w:r>
      <w:r w:rsidR="00190E70" w:rsidRPr="005B1BF3">
        <w:rPr>
          <w:sz w:val="24"/>
          <w:szCs w:val="24"/>
        </w:rPr>
        <w:t xml:space="preserve"> to work with HUD to accelerate the project’s draw-down rate, modified agreements to reflect the attainment of non-profit status, and managed 16 separate contracts for consulting services. </w:t>
      </w:r>
      <w:r w:rsidRPr="005B1BF3">
        <w:rPr>
          <w:sz w:val="24"/>
          <w:szCs w:val="24"/>
        </w:rPr>
        <w:t xml:space="preserve"> To assist the PMO in meeting the challenge of overseeing a large number of simultaneous contracts, the Consortium established a formal </w:t>
      </w:r>
      <w:r w:rsidRPr="005B1BF3">
        <w:rPr>
          <w:b/>
          <w:sz w:val="24"/>
          <w:szCs w:val="24"/>
        </w:rPr>
        <w:t>Finance Committee</w:t>
      </w:r>
      <w:r w:rsidRPr="005B1BF3">
        <w:rPr>
          <w:sz w:val="24"/>
          <w:szCs w:val="24"/>
        </w:rPr>
        <w:t xml:space="preserve"> </w:t>
      </w:r>
      <w:r w:rsidR="008B0D19" w:rsidRPr="005B1BF3">
        <w:rPr>
          <w:sz w:val="24"/>
          <w:szCs w:val="24"/>
        </w:rPr>
        <w:t xml:space="preserve">comprised of Board members </w:t>
      </w:r>
      <w:r w:rsidRPr="005B1BF3">
        <w:rPr>
          <w:sz w:val="24"/>
          <w:szCs w:val="24"/>
        </w:rPr>
        <w:t xml:space="preserve">and created a six-person </w:t>
      </w:r>
      <w:r w:rsidRPr="005B1BF3">
        <w:rPr>
          <w:b/>
          <w:sz w:val="24"/>
          <w:szCs w:val="24"/>
        </w:rPr>
        <w:t>Technical Steering Committee</w:t>
      </w:r>
      <w:r w:rsidRPr="005B1BF3">
        <w:rPr>
          <w:sz w:val="24"/>
          <w:szCs w:val="24"/>
        </w:rPr>
        <w:t xml:space="preserve"> comprised of the executive directors of the five intergovernmental agencies and the Consortium.  </w:t>
      </w:r>
    </w:p>
    <w:p w:rsidR="00856A2B" w:rsidRDefault="00FE3076" w:rsidP="00856A2B">
      <w:pPr>
        <w:rPr>
          <w:sz w:val="24"/>
          <w:szCs w:val="24"/>
        </w:rPr>
      </w:pPr>
      <w:r w:rsidRPr="005B1BF3">
        <w:rPr>
          <w:sz w:val="24"/>
          <w:szCs w:val="24"/>
        </w:rPr>
        <w:t xml:space="preserve">While the former assisted the PMO in managing the organization’s finances, the latter assisted the PMO by serving as an internal client for the scenario planning and fiscal impact consultancy. This work required rapid response to technically-sophisticated questions involving issues of methodology, input data, and work products. This group, representing five long-established multi-jurisdictional planning agencies, provided invaluable assistance to PMO and the consulting team during the entire scenario planning process.  Finally, the Executive Director and his senior staff met with representatives of the Fund to renegotiate and clarify the terms of the Fund’s grant to the Consortium. </w:t>
      </w:r>
    </w:p>
    <w:p w:rsidR="00FE3076" w:rsidRDefault="00856A2B" w:rsidP="00856A2B">
      <w:pPr>
        <w:spacing w:after="0"/>
        <w:jc w:val="center"/>
        <w:rPr>
          <w:b/>
          <w:sz w:val="32"/>
          <w:szCs w:val="32"/>
        </w:rPr>
      </w:pPr>
      <w:r>
        <w:rPr>
          <w:b/>
          <w:sz w:val="32"/>
          <w:szCs w:val="32"/>
        </w:rPr>
        <w:t>Y</w:t>
      </w:r>
      <w:r w:rsidR="00AD517F" w:rsidRPr="005B1BF3">
        <w:rPr>
          <w:b/>
          <w:sz w:val="32"/>
          <w:szCs w:val="32"/>
        </w:rPr>
        <w:t>ear 3/2</w:t>
      </w:r>
      <w:r w:rsidR="00FE3076" w:rsidRPr="005B1BF3">
        <w:rPr>
          <w:b/>
          <w:sz w:val="32"/>
          <w:szCs w:val="32"/>
        </w:rPr>
        <w:t xml:space="preserve">013: Creating the Vision </w:t>
      </w:r>
    </w:p>
    <w:p w:rsidR="00856A2B" w:rsidRPr="005B1BF3" w:rsidRDefault="00856A2B" w:rsidP="00856A2B">
      <w:pPr>
        <w:spacing w:after="0"/>
        <w:jc w:val="center"/>
        <w:rPr>
          <w:b/>
          <w:sz w:val="32"/>
          <w:szCs w:val="32"/>
        </w:rPr>
      </w:pPr>
    </w:p>
    <w:p w:rsidR="00FE3076" w:rsidRPr="005B1BF3" w:rsidRDefault="00FE3076" w:rsidP="00663D97">
      <w:pPr>
        <w:rPr>
          <w:sz w:val="24"/>
          <w:szCs w:val="24"/>
        </w:rPr>
      </w:pPr>
      <w:r w:rsidRPr="005B1BF3">
        <w:rPr>
          <w:sz w:val="24"/>
          <w:szCs w:val="24"/>
        </w:rPr>
        <w:t xml:space="preserve">Year 3 was the culmination of all that preceded it. During an intense 13-month period, all the data and analysis, civic engagement and outreach to citizens and elected officials alight came together to produce </w:t>
      </w:r>
      <w:r w:rsidRPr="005B1BF3">
        <w:rPr>
          <w:b/>
          <w:i/>
          <w:sz w:val="24"/>
          <w:szCs w:val="24"/>
        </w:rPr>
        <w:t>VibrantNEO 2040</w:t>
      </w:r>
      <w:r w:rsidRPr="005B1BF3">
        <w:rPr>
          <w:sz w:val="24"/>
          <w:szCs w:val="24"/>
        </w:rPr>
        <w:t xml:space="preserve">, the region’s first-ever framework plan. </w:t>
      </w:r>
    </w:p>
    <w:p w:rsidR="00011D84" w:rsidRPr="005B1BF3" w:rsidRDefault="00011D84" w:rsidP="00011D84">
      <w:pPr>
        <w:jc w:val="center"/>
        <w:rPr>
          <w:b/>
          <w:sz w:val="24"/>
          <w:szCs w:val="24"/>
        </w:rPr>
      </w:pPr>
      <w:r w:rsidRPr="005B1BF3">
        <w:rPr>
          <w:b/>
          <w:sz w:val="24"/>
          <w:szCs w:val="24"/>
        </w:rPr>
        <w:t>First Half, 2013</w:t>
      </w:r>
    </w:p>
    <w:p w:rsidR="0098627C" w:rsidRPr="005B1BF3" w:rsidRDefault="0098627C" w:rsidP="00663D97">
      <w:pPr>
        <w:rPr>
          <w:sz w:val="24"/>
          <w:szCs w:val="24"/>
        </w:rPr>
      </w:pPr>
      <w:r w:rsidRPr="005B1BF3">
        <w:rPr>
          <w:sz w:val="24"/>
          <w:szCs w:val="24"/>
        </w:rPr>
        <w:t xml:space="preserve">During </w:t>
      </w:r>
      <w:r w:rsidR="00011D84" w:rsidRPr="005B1BF3">
        <w:rPr>
          <w:sz w:val="24"/>
          <w:szCs w:val="24"/>
        </w:rPr>
        <w:t>this period</w:t>
      </w:r>
      <w:r w:rsidRPr="005B1BF3">
        <w:rPr>
          <w:sz w:val="24"/>
          <w:szCs w:val="24"/>
        </w:rPr>
        <w:t xml:space="preserve">, the Consortium completed the first </w:t>
      </w:r>
      <w:r w:rsidR="00011D84" w:rsidRPr="005B1BF3">
        <w:rPr>
          <w:sz w:val="24"/>
          <w:szCs w:val="24"/>
        </w:rPr>
        <w:t>p</w:t>
      </w:r>
      <w:r w:rsidRPr="005B1BF3">
        <w:rPr>
          <w:sz w:val="24"/>
          <w:szCs w:val="24"/>
        </w:rPr>
        <w:t xml:space="preserve">hase of the scenario planning process, developing the </w:t>
      </w:r>
      <w:r w:rsidR="00011D84" w:rsidRPr="005B1BF3">
        <w:rPr>
          <w:sz w:val="24"/>
          <w:szCs w:val="24"/>
        </w:rPr>
        <w:t>“</w:t>
      </w:r>
      <w:r w:rsidR="00011D84" w:rsidRPr="005B1BF3">
        <w:rPr>
          <w:b/>
          <w:sz w:val="24"/>
          <w:szCs w:val="24"/>
        </w:rPr>
        <w:t>Trend S</w:t>
      </w:r>
      <w:r w:rsidRPr="005B1BF3">
        <w:rPr>
          <w:b/>
          <w:sz w:val="24"/>
          <w:szCs w:val="24"/>
        </w:rPr>
        <w:t>cenario</w:t>
      </w:r>
      <w:r w:rsidR="00011D84" w:rsidRPr="005B1BF3">
        <w:rPr>
          <w:sz w:val="24"/>
          <w:szCs w:val="24"/>
        </w:rPr>
        <w:t>”</w:t>
      </w:r>
      <w:r w:rsidRPr="005B1BF3">
        <w:rPr>
          <w:sz w:val="24"/>
          <w:szCs w:val="24"/>
        </w:rPr>
        <w:t xml:space="preserve"> and presenting it to the region in six community workshops </w:t>
      </w:r>
      <w:r w:rsidR="00011D84" w:rsidRPr="005B1BF3">
        <w:rPr>
          <w:sz w:val="24"/>
          <w:szCs w:val="24"/>
        </w:rPr>
        <w:t>convened</w:t>
      </w:r>
      <w:r w:rsidR="00F540A2" w:rsidRPr="005B1BF3">
        <w:rPr>
          <w:sz w:val="24"/>
          <w:szCs w:val="24"/>
        </w:rPr>
        <w:t xml:space="preserve"> between April 30 and May 1</w:t>
      </w:r>
      <w:r w:rsidR="00011D84" w:rsidRPr="005B1BF3">
        <w:rPr>
          <w:sz w:val="24"/>
          <w:szCs w:val="24"/>
        </w:rPr>
        <w:t xml:space="preserve"> to discuss the question</w:t>
      </w:r>
      <w:r w:rsidR="00952FFF">
        <w:rPr>
          <w:sz w:val="24"/>
          <w:szCs w:val="24"/>
        </w:rPr>
        <w:t>:</w:t>
      </w:r>
      <w:r w:rsidR="00F540A2" w:rsidRPr="005B1BF3">
        <w:rPr>
          <w:b/>
          <w:sz w:val="24"/>
          <w:szCs w:val="24"/>
        </w:rPr>
        <w:t>”Where are we headed currently?”</w:t>
      </w:r>
      <w:r w:rsidR="00F540A2" w:rsidRPr="005B1BF3">
        <w:rPr>
          <w:sz w:val="24"/>
          <w:szCs w:val="24"/>
        </w:rPr>
        <w:t xml:space="preserve"> </w:t>
      </w:r>
      <w:r w:rsidRPr="005B1BF3">
        <w:rPr>
          <w:sz w:val="24"/>
          <w:szCs w:val="24"/>
        </w:rPr>
        <w:t xml:space="preserve">Building the Trend scenario took significant effort and required weekly PMO/Consultant project management meetings as well as frequent convening of the Technical Steering Committee to give their advice on technical issues and to act on behalf of the Board on all questions of data, methodology, and formatting. </w:t>
      </w:r>
    </w:p>
    <w:p w:rsidR="00B23BD5" w:rsidRPr="005B1BF3" w:rsidRDefault="0098627C" w:rsidP="00663D97">
      <w:pPr>
        <w:rPr>
          <w:sz w:val="24"/>
          <w:szCs w:val="24"/>
        </w:rPr>
      </w:pPr>
      <w:r w:rsidRPr="005B1BF3">
        <w:rPr>
          <w:sz w:val="24"/>
          <w:szCs w:val="24"/>
        </w:rPr>
        <w:t xml:space="preserve">The six community forums were the first opportunity for the region to participate directly in the regional visioning process. Participants were given detailed information on the region’s development trajectory based on the trends of the prior two decades (1990 to 2010), a period the Technical Steering Committee had deemed most appropriate for this work. Participant were given maps of the region’s patterns of development and abandonment in 2040 and given the opportunity to </w:t>
      </w:r>
      <w:r w:rsidR="00B15FBA">
        <w:rPr>
          <w:sz w:val="24"/>
          <w:szCs w:val="24"/>
        </w:rPr>
        <w:t xml:space="preserve">propose alternative trajectories </w:t>
      </w:r>
      <w:r w:rsidRPr="005B1BF3">
        <w:rPr>
          <w:sz w:val="24"/>
          <w:szCs w:val="24"/>
        </w:rPr>
        <w:t xml:space="preserve">for their community and for the region as a whole. Over 60 detailed maps were developed and later digitized to develop a composite of regional preferences that was presented at the second round of meetings. </w:t>
      </w:r>
      <w:r w:rsidR="00B23BD5" w:rsidRPr="005B1BF3">
        <w:rPr>
          <w:sz w:val="24"/>
          <w:szCs w:val="24"/>
        </w:rPr>
        <w:t xml:space="preserve"> Participants were also polled using a key pad polling process that enables them to see the results of each question in real time. </w:t>
      </w:r>
    </w:p>
    <w:p w:rsidR="005C7FE9" w:rsidRPr="005B1BF3" w:rsidRDefault="00B23BD5" w:rsidP="00663D97">
      <w:pPr>
        <w:rPr>
          <w:sz w:val="24"/>
          <w:szCs w:val="24"/>
        </w:rPr>
      </w:pPr>
      <w:r w:rsidRPr="005B1BF3">
        <w:rPr>
          <w:sz w:val="24"/>
          <w:szCs w:val="24"/>
        </w:rPr>
        <w:t xml:space="preserve">In order to prepare for this first round of meetings and drive traffic to the sessions, the PMO and its communications consultant employed a wide range of tools including traditional editorial board briefings as well </w:t>
      </w:r>
      <w:r w:rsidR="005C7FE9" w:rsidRPr="005B1BF3">
        <w:rPr>
          <w:sz w:val="24"/>
          <w:szCs w:val="24"/>
        </w:rPr>
        <w:t xml:space="preserve">as advertising on ethnic and minority radio and in minority publications, </w:t>
      </w:r>
      <w:r w:rsidRPr="005B1BF3">
        <w:rPr>
          <w:sz w:val="24"/>
          <w:szCs w:val="24"/>
        </w:rPr>
        <w:t>public radio sponsorships, Google ads, Twitter and Facebook posts and direct outreach</w:t>
      </w:r>
      <w:r w:rsidR="005C7FE9" w:rsidRPr="005B1BF3">
        <w:rPr>
          <w:sz w:val="24"/>
          <w:szCs w:val="24"/>
        </w:rPr>
        <w:t xml:space="preserve"> by email and posted mail </w:t>
      </w:r>
      <w:r w:rsidRPr="005B1BF3">
        <w:rPr>
          <w:sz w:val="24"/>
          <w:szCs w:val="24"/>
        </w:rPr>
        <w:t xml:space="preserve">the Consortium’s Network of Network and to the 2500 elected official in Northeast Ohio. </w:t>
      </w:r>
      <w:r w:rsidR="005C7FE9" w:rsidRPr="005B1BF3">
        <w:rPr>
          <w:sz w:val="24"/>
          <w:szCs w:val="24"/>
        </w:rPr>
        <w:t xml:space="preserve"> </w:t>
      </w:r>
    </w:p>
    <w:p w:rsidR="00B23BD5" w:rsidRPr="005B1BF3" w:rsidRDefault="005C7FE9" w:rsidP="00663D97">
      <w:pPr>
        <w:rPr>
          <w:sz w:val="24"/>
          <w:szCs w:val="24"/>
        </w:rPr>
      </w:pPr>
      <w:r w:rsidRPr="005B1BF3">
        <w:rPr>
          <w:sz w:val="24"/>
          <w:szCs w:val="24"/>
        </w:rPr>
        <w:t>PMO staff and consultants developed a detailed inventory of accessible meeting sites throughout the region. Particular attention was given to convenience to low and moderate income citizens and accessibly by transit.</w:t>
      </w:r>
      <w:r w:rsidR="004B31C9" w:rsidRPr="005B1BF3">
        <w:rPr>
          <w:sz w:val="24"/>
          <w:szCs w:val="24"/>
        </w:rPr>
        <w:t xml:space="preserve"> Finally, translating and signing services were provided. </w:t>
      </w:r>
      <w:r w:rsidRPr="005B1BF3">
        <w:rPr>
          <w:sz w:val="24"/>
          <w:szCs w:val="24"/>
        </w:rPr>
        <w:t xml:space="preserve"> This inventory was used in all subsequent Consortium public meetings and is a valuable byproduct of the </w:t>
      </w:r>
      <w:r w:rsidRPr="005B1BF3">
        <w:rPr>
          <w:i/>
          <w:sz w:val="24"/>
          <w:szCs w:val="24"/>
        </w:rPr>
        <w:t>VIbrantNEO</w:t>
      </w:r>
      <w:r w:rsidRPr="005B1BF3">
        <w:rPr>
          <w:sz w:val="24"/>
          <w:szCs w:val="24"/>
        </w:rPr>
        <w:t xml:space="preserve"> initiative. </w:t>
      </w:r>
    </w:p>
    <w:p w:rsidR="00B23BD5" w:rsidRPr="005B1BF3" w:rsidRDefault="00B23BD5" w:rsidP="00663D97">
      <w:pPr>
        <w:rPr>
          <w:sz w:val="24"/>
          <w:szCs w:val="24"/>
        </w:rPr>
      </w:pPr>
      <w:r w:rsidRPr="005B1BF3">
        <w:rPr>
          <w:sz w:val="24"/>
          <w:szCs w:val="24"/>
        </w:rPr>
        <w:t xml:space="preserve">Simultaneously work proceeded on the Regional AI/FHEA. The PMO and the consultant conducted 20 individual outreach meetings throughout the region. This both introduced the topic of Fair Housing as a regional issue and gave the PMO staff an additional opportunity to promote the scenario planning workshops. During this period the PMO staff worked directly with the region’s community development directors and housing authorities, several of whom assisted the PMO by promoting both the AI/FHEA briefings and the scenario planning workshops to their constituents. </w:t>
      </w:r>
    </w:p>
    <w:p w:rsidR="00952FFF" w:rsidRDefault="00B15FBA" w:rsidP="00663D97">
      <w:pPr>
        <w:rPr>
          <w:sz w:val="24"/>
          <w:szCs w:val="24"/>
        </w:rPr>
      </w:pPr>
      <w:r>
        <w:rPr>
          <w:sz w:val="24"/>
          <w:szCs w:val="24"/>
        </w:rPr>
        <w:t xml:space="preserve">Finally, the PMO conducted the </w:t>
      </w:r>
      <w:r w:rsidR="00952FFF">
        <w:rPr>
          <w:sz w:val="24"/>
          <w:szCs w:val="24"/>
        </w:rPr>
        <w:t>second regional public opinion s</w:t>
      </w:r>
      <w:r>
        <w:rPr>
          <w:sz w:val="24"/>
          <w:szCs w:val="24"/>
        </w:rPr>
        <w:t xml:space="preserve">urvey, </w:t>
      </w:r>
      <w:r w:rsidR="00952FFF">
        <w:rPr>
          <w:sz w:val="24"/>
          <w:szCs w:val="24"/>
        </w:rPr>
        <w:t xml:space="preserve">the </w:t>
      </w:r>
      <w:r w:rsidR="00952FFF" w:rsidRPr="00952FFF">
        <w:rPr>
          <w:b/>
          <w:sz w:val="24"/>
          <w:szCs w:val="24"/>
        </w:rPr>
        <w:t>Midpoint Survey</w:t>
      </w:r>
      <w:r w:rsidR="00952FFF">
        <w:rPr>
          <w:sz w:val="24"/>
          <w:szCs w:val="24"/>
        </w:rPr>
        <w:t xml:space="preserve">, in June 2013.  This survey focused on four issues: satisfaction with the area, likelihood of staying in the area, willingness to recommend the area, and things important to have in the area. </w:t>
      </w:r>
    </w:p>
    <w:p w:rsidR="0098627C" w:rsidRPr="005B1BF3" w:rsidRDefault="00B23BD5" w:rsidP="00663D97">
      <w:pPr>
        <w:rPr>
          <w:sz w:val="24"/>
          <w:szCs w:val="24"/>
        </w:rPr>
      </w:pPr>
      <w:r w:rsidRPr="005B1BF3">
        <w:rPr>
          <w:sz w:val="24"/>
          <w:szCs w:val="24"/>
        </w:rPr>
        <w:t xml:space="preserve">On the administrative side, the PMO collected 89% of all in-kind </w:t>
      </w:r>
      <w:r w:rsidR="00011D84" w:rsidRPr="005B1BF3">
        <w:rPr>
          <w:b/>
          <w:sz w:val="24"/>
          <w:szCs w:val="24"/>
        </w:rPr>
        <w:t>Leveraged Match</w:t>
      </w:r>
      <w:r w:rsidR="00011D84" w:rsidRPr="005B1BF3">
        <w:rPr>
          <w:sz w:val="24"/>
          <w:szCs w:val="24"/>
        </w:rPr>
        <w:t xml:space="preserve"> </w:t>
      </w:r>
      <w:r w:rsidRPr="005B1BF3">
        <w:rPr>
          <w:sz w:val="24"/>
          <w:szCs w:val="24"/>
        </w:rPr>
        <w:t xml:space="preserve">pledged by its members. While this match was subsequently adjusted downward to </w:t>
      </w:r>
      <w:r w:rsidR="005C7FE9" w:rsidRPr="005B1BF3">
        <w:rPr>
          <w:sz w:val="24"/>
          <w:szCs w:val="24"/>
        </w:rPr>
        <w:t xml:space="preserve">new HUD guidance related to the source of eligible sources of match funds, the commitment of staff and material form all of the Consortium’s members gave evidence of their growing willingness to collaborate across traditional boundaries on the development of a regional Vision. </w:t>
      </w:r>
      <w:r w:rsidR="0098627C" w:rsidRPr="005B1BF3">
        <w:rPr>
          <w:sz w:val="24"/>
          <w:szCs w:val="24"/>
        </w:rPr>
        <w:t xml:space="preserve"> </w:t>
      </w:r>
      <w:r w:rsidR="005C7FE9" w:rsidRPr="005B1BF3">
        <w:rPr>
          <w:sz w:val="24"/>
          <w:szCs w:val="24"/>
        </w:rPr>
        <w:t>NEOSCC staff and their NOACA counterpart collaborated closely during this demanding period to ensure that all consultants and contractors p</w:t>
      </w:r>
      <w:r w:rsidR="004B31C9" w:rsidRPr="005B1BF3">
        <w:rPr>
          <w:sz w:val="24"/>
          <w:szCs w:val="24"/>
        </w:rPr>
        <w:t xml:space="preserve">erformed to the terms of their agreements/contracts and consistent with Federal procurement policies and guidelines. </w:t>
      </w:r>
    </w:p>
    <w:p w:rsidR="00011D84" w:rsidRPr="005B1BF3" w:rsidRDefault="00011D84" w:rsidP="00011D84">
      <w:pPr>
        <w:jc w:val="center"/>
        <w:rPr>
          <w:b/>
          <w:sz w:val="24"/>
          <w:szCs w:val="24"/>
        </w:rPr>
      </w:pPr>
      <w:r w:rsidRPr="005B1BF3">
        <w:rPr>
          <w:b/>
          <w:sz w:val="24"/>
          <w:szCs w:val="24"/>
        </w:rPr>
        <w:t>Second Half, 2013</w:t>
      </w:r>
    </w:p>
    <w:p w:rsidR="004B31C9" w:rsidRPr="005B1BF3" w:rsidRDefault="004B31C9" w:rsidP="00663D97">
      <w:pPr>
        <w:rPr>
          <w:sz w:val="24"/>
          <w:szCs w:val="24"/>
        </w:rPr>
      </w:pPr>
      <w:r w:rsidRPr="005B1BF3">
        <w:rPr>
          <w:sz w:val="24"/>
          <w:szCs w:val="24"/>
        </w:rPr>
        <w:t>During th</w:t>
      </w:r>
      <w:r w:rsidR="00011D84" w:rsidRPr="005B1BF3">
        <w:rPr>
          <w:sz w:val="24"/>
          <w:szCs w:val="24"/>
        </w:rPr>
        <w:t>is period t</w:t>
      </w:r>
      <w:r w:rsidRPr="005B1BF3">
        <w:rPr>
          <w:sz w:val="24"/>
          <w:szCs w:val="24"/>
        </w:rPr>
        <w:t xml:space="preserve">he PMO and consultant team completed two more rounds of </w:t>
      </w:r>
      <w:r w:rsidR="00011D84" w:rsidRPr="005B1BF3">
        <w:rPr>
          <w:sz w:val="24"/>
          <w:szCs w:val="24"/>
        </w:rPr>
        <w:t xml:space="preserve">community </w:t>
      </w:r>
      <w:r w:rsidRPr="005B1BF3">
        <w:rPr>
          <w:sz w:val="24"/>
          <w:szCs w:val="24"/>
        </w:rPr>
        <w:t>meetings, prepared and reviewed specific Recommendations and Initiatives that resulted from this work, and completed the draft VibrantNEO Vision, Framework and Action Products. The PMO requested and received an extension of 6 months to enable it to complete the adoption of the Recommendations and Initiatives by the NEOSCC Board, complete and publish the final report, close out the grant contract with HUD, and plan for its post-grant future as an organization.  In addition, the PMO and its consultant</w:t>
      </w:r>
      <w:r w:rsidR="00CE1C41" w:rsidRPr="005B1BF3">
        <w:rPr>
          <w:sz w:val="24"/>
          <w:szCs w:val="24"/>
        </w:rPr>
        <w:t xml:space="preserve"> conducted a second set of region-wide community meetings,</w:t>
      </w:r>
      <w:r w:rsidRPr="005B1BF3">
        <w:rPr>
          <w:sz w:val="24"/>
          <w:szCs w:val="24"/>
        </w:rPr>
        <w:t xml:space="preserve"> completed </w:t>
      </w:r>
      <w:r w:rsidR="00CE1C41" w:rsidRPr="005B1BF3">
        <w:rPr>
          <w:sz w:val="24"/>
          <w:szCs w:val="24"/>
        </w:rPr>
        <w:t>the Regional AI/FHEA, integrated its policy recommendations into the larger VibrantNEO Vision, and published the final report</w:t>
      </w:r>
      <w:r w:rsidRPr="005B1BF3">
        <w:rPr>
          <w:sz w:val="24"/>
          <w:szCs w:val="24"/>
        </w:rPr>
        <w:t xml:space="preserve">. </w:t>
      </w:r>
      <w:r w:rsidR="00CE1C41" w:rsidRPr="005B1BF3">
        <w:rPr>
          <w:sz w:val="24"/>
          <w:szCs w:val="24"/>
        </w:rPr>
        <w:t xml:space="preserve"> </w:t>
      </w:r>
    </w:p>
    <w:p w:rsidR="004B31C9" w:rsidRPr="005B1BF3" w:rsidRDefault="004B31C9" w:rsidP="00663D97">
      <w:pPr>
        <w:rPr>
          <w:sz w:val="24"/>
          <w:szCs w:val="24"/>
        </w:rPr>
      </w:pPr>
      <w:r w:rsidRPr="005B1BF3">
        <w:rPr>
          <w:sz w:val="24"/>
          <w:szCs w:val="24"/>
        </w:rPr>
        <w:t xml:space="preserve">Finally, the Board engaged a local organizational development consultant to lead it to a disciplined process for determining the future of the Consortium following the conclusion of the federal grant. </w:t>
      </w:r>
    </w:p>
    <w:p w:rsidR="00F540A2" w:rsidRPr="005B1BF3" w:rsidRDefault="00CE1C41" w:rsidP="00663D97">
      <w:pPr>
        <w:rPr>
          <w:sz w:val="24"/>
          <w:szCs w:val="24"/>
        </w:rPr>
      </w:pPr>
      <w:r w:rsidRPr="005B1BF3">
        <w:rPr>
          <w:sz w:val="24"/>
          <w:szCs w:val="24"/>
        </w:rPr>
        <w:t>The PMO’s principal activity during this period included conducting two additional rounds of community meetings</w:t>
      </w:r>
      <w:r w:rsidR="00F540A2" w:rsidRPr="005B1BF3">
        <w:rPr>
          <w:sz w:val="24"/>
          <w:szCs w:val="24"/>
        </w:rPr>
        <w:t xml:space="preserve">.  The second round of meetings was convened between July 29 and August 2 and asked </w:t>
      </w:r>
      <w:r w:rsidR="00F540A2" w:rsidRPr="005B1BF3">
        <w:rPr>
          <w:b/>
          <w:sz w:val="24"/>
          <w:szCs w:val="24"/>
        </w:rPr>
        <w:t xml:space="preserve">“What are the possibilities?” </w:t>
      </w:r>
      <w:r w:rsidR="00F540A2" w:rsidRPr="005B1BF3">
        <w:rPr>
          <w:sz w:val="24"/>
          <w:szCs w:val="24"/>
        </w:rPr>
        <w:t xml:space="preserve">The consultant team presented three </w:t>
      </w:r>
      <w:r w:rsidRPr="005B1BF3">
        <w:rPr>
          <w:sz w:val="24"/>
          <w:szCs w:val="24"/>
        </w:rPr>
        <w:t>scenarios</w:t>
      </w:r>
      <w:r w:rsidR="00011D84" w:rsidRPr="005B1BF3">
        <w:rPr>
          <w:sz w:val="24"/>
          <w:szCs w:val="24"/>
        </w:rPr>
        <w:t>—</w:t>
      </w:r>
      <w:r w:rsidR="00011D84" w:rsidRPr="005B1BF3">
        <w:rPr>
          <w:b/>
          <w:sz w:val="24"/>
          <w:szCs w:val="24"/>
        </w:rPr>
        <w:t>Grow the Same, Do Things Differently and Grow Differently</w:t>
      </w:r>
      <w:r w:rsidR="00011D84" w:rsidRPr="005B1BF3">
        <w:rPr>
          <w:sz w:val="24"/>
          <w:szCs w:val="24"/>
        </w:rPr>
        <w:t xml:space="preserve">—in </w:t>
      </w:r>
      <w:r w:rsidRPr="005B1BF3">
        <w:rPr>
          <w:sz w:val="24"/>
          <w:szCs w:val="24"/>
        </w:rPr>
        <w:t>addi</w:t>
      </w:r>
      <w:r w:rsidR="00F540A2" w:rsidRPr="005B1BF3">
        <w:rPr>
          <w:sz w:val="24"/>
          <w:szCs w:val="24"/>
        </w:rPr>
        <w:t xml:space="preserve">tion to the Trend Scenario. Using a workshop/open house format, the team presented information on each of the four scenarios and asked the participants’ opinion using a wide range of survey techniques. </w:t>
      </w:r>
    </w:p>
    <w:p w:rsidR="00F540A2" w:rsidRPr="005B1BF3" w:rsidRDefault="00F540A2" w:rsidP="00663D97">
      <w:pPr>
        <w:rPr>
          <w:sz w:val="24"/>
          <w:szCs w:val="24"/>
        </w:rPr>
      </w:pPr>
      <w:r w:rsidRPr="005B1BF3">
        <w:rPr>
          <w:sz w:val="24"/>
          <w:szCs w:val="24"/>
        </w:rPr>
        <w:t xml:space="preserve">The final round of community meetings was convened between October 7 and October 17 to ask the question </w:t>
      </w:r>
      <w:r w:rsidRPr="005B1BF3">
        <w:rPr>
          <w:b/>
          <w:sz w:val="24"/>
          <w:szCs w:val="24"/>
        </w:rPr>
        <w:t>“Where do we want to go?”</w:t>
      </w:r>
      <w:r w:rsidRPr="005B1BF3">
        <w:rPr>
          <w:sz w:val="24"/>
          <w:szCs w:val="24"/>
        </w:rPr>
        <w:t xml:space="preserve"> The consultant team and PMO members presented the broad themes that had emerged from the work thus far and offered a set of specific </w:t>
      </w:r>
      <w:r w:rsidRPr="005B1BF3">
        <w:rPr>
          <w:b/>
          <w:sz w:val="24"/>
          <w:szCs w:val="24"/>
        </w:rPr>
        <w:t xml:space="preserve">Recommendations </w:t>
      </w:r>
      <w:r w:rsidRPr="005B1BF3">
        <w:rPr>
          <w:sz w:val="24"/>
          <w:szCs w:val="24"/>
        </w:rPr>
        <w:t xml:space="preserve">and examples of proposed </w:t>
      </w:r>
      <w:r w:rsidRPr="005B1BF3">
        <w:rPr>
          <w:b/>
          <w:sz w:val="24"/>
          <w:szCs w:val="24"/>
        </w:rPr>
        <w:t>Initiatives</w:t>
      </w:r>
      <w:r w:rsidRPr="005B1BF3">
        <w:rPr>
          <w:sz w:val="24"/>
          <w:szCs w:val="24"/>
        </w:rPr>
        <w:t xml:space="preserve"> for their consideration. Using key pad polling, the team gaged support or opposition </w:t>
      </w:r>
      <w:r w:rsidR="002A46B2" w:rsidRPr="005B1BF3">
        <w:rPr>
          <w:sz w:val="24"/>
          <w:szCs w:val="24"/>
        </w:rPr>
        <w:t>to each set of Recommendations. Working with the consultant team, the NEOSCC Board and PMO staff used this information to fine tone th</w:t>
      </w:r>
      <w:r w:rsidR="00952FFF">
        <w:rPr>
          <w:sz w:val="24"/>
          <w:szCs w:val="24"/>
        </w:rPr>
        <w:t xml:space="preserve">e specific Recommendations and </w:t>
      </w:r>
      <w:r w:rsidR="002A46B2" w:rsidRPr="005B1BF3">
        <w:rPr>
          <w:sz w:val="24"/>
          <w:szCs w:val="24"/>
        </w:rPr>
        <w:t xml:space="preserve">Initiatives. </w:t>
      </w:r>
    </w:p>
    <w:p w:rsidR="00782D60" w:rsidRPr="005B1BF3" w:rsidRDefault="002A46B2" w:rsidP="00663D97">
      <w:pPr>
        <w:rPr>
          <w:sz w:val="24"/>
          <w:szCs w:val="24"/>
        </w:rPr>
      </w:pPr>
      <w:r w:rsidRPr="005B1BF3">
        <w:rPr>
          <w:sz w:val="24"/>
          <w:szCs w:val="24"/>
        </w:rPr>
        <w:t xml:space="preserve">The PMO wished to further refine the Recommendations and Initiatives that emerged from this participation and convened six </w:t>
      </w:r>
      <w:r w:rsidR="00952FFF">
        <w:rPr>
          <w:sz w:val="24"/>
          <w:szCs w:val="24"/>
        </w:rPr>
        <w:t>“</w:t>
      </w:r>
      <w:r w:rsidRPr="00952FFF">
        <w:rPr>
          <w:sz w:val="24"/>
          <w:szCs w:val="24"/>
          <w:u w:val="single"/>
        </w:rPr>
        <w:t>Caucuses</w:t>
      </w:r>
      <w:r w:rsidR="00952FFF">
        <w:rPr>
          <w:sz w:val="24"/>
          <w:szCs w:val="24"/>
        </w:rPr>
        <w:t>”</w:t>
      </w:r>
      <w:r w:rsidRPr="005B1BF3">
        <w:rPr>
          <w:sz w:val="24"/>
          <w:szCs w:val="24"/>
        </w:rPr>
        <w:t xml:space="preserve"> comprised of invited local experts in the areas of Housing and Community Development, Economic Development, Environmental Protection, Parks and Recreation, Transportation, and Food &amp; Agriculture.  Each Caucus was asked to review the full range of proposed Recommendations and Initiatives and asked to focus on those of particular relevance to their area of expertise. </w:t>
      </w:r>
      <w:r w:rsidR="00CE1C41" w:rsidRPr="005B1BF3">
        <w:rPr>
          <w:sz w:val="24"/>
          <w:szCs w:val="24"/>
        </w:rPr>
        <w:t xml:space="preserve">  </w:t>
      </w:r>
    </w:p>
    <w:p w:rsidR="00011D84" w:rsidRPr="005B1BF3" w:rsidRDefault="00CE1C41" w:rsidP="00663D97">
      <w:pPr>
        <w:rPr>
          <w:sz w:val="24"/>
          <w:szCs w:val="24"/>
        </w:rPr>
      </w:pPr>
      <w:r w:rsidRPr="005B1BF3">
        <w:rPr>
          <w:sz w:val="24"/>
          <w:szCs w:val="24"/>
        </w:rPr>
        <w:t xml:space="preserve">During the second and third rounds, additional meeting sites were identified and employed to broaden the geographic coverage and ensure that people throughout the region had a convenient place to go if they wished to participate. Several innovative or non-traditional engagement tools were employed during these rounds. First, the PMO and consultant team produced </w:t>
      </w:r>
      <w:r w:rsidRPr="005B1BF3">
        <w:rPr>
          <w:b/>
          <w:sz w:val="24"/>
          <w:szCs w:val="24"/>
        </w:rPr>
        <w:t>short introductory videos</w:t>
      </w:r>
      <w:r w:rsidRPr="005B1BF3">
        <w:rPr>
          <w:sz w:val="24"/>
          <w:szCs w:val="24"/>
        </w:rPr>
        <w:t xml:space="preserve"> for each of the two rounds.  These videos were used to set the stage and identify the “topics of the day” at the beginning of each meeting. </w:t>
      </w:r>
    </w:p>
    <w:p w:rsidR="00CE1C41" w:rsidRPr="005B1BF3" w:rsidRDefault="00CE1C41" w:rsidP="00663D97">
      <w:pPr>
        <w:rPr>
          <w:sz w:val="24"/>
          <w:szCs w:val="24"/>
        </w:rPr>
      </w:pPr>
      <w:r w:rsidRPr="005B1BF3">
        <w:rPr>
          <w:sz w:val="24"/>
          <w:szCs w:val="24"/>
        </w:rPr>
        <w:t>Second, the PMO enlisted supportive elected official to call into their constituents using “</w:t>
      </w:r>
      <w:r w:rsidR="00011D84" w:rsidRPr="005B1BF3">
        <w:rPr>
          <w:b/>
          <w:sz w:val="24"/>
          <w:szCs w:val="24"/>
        </w:rPr>
        <w:t>robo</w:t>
      </w:r>
      <w:r w:rsidRPr="005B1BF3">
        <w:rPr>
          <w:b/>
          <w:sz w:val="24"/>
          <w:szCs w:val="24"/>
        </w:rPr>
        <w:t>calls,”</w:t>
      </w:r>
      <w:r w:rsidRPr="005B1BF3">
        <w:rPr>
          <w:sz w:val="24"/>
          <w:szCs w:val="24"/>
        </w:rPr>
        <w:t xml:space="preserve"> a tool normally used to “get out the vote” before and during elections. This tool proved especially successful in encouraging participation in Mahoning and Ashtabula counties. Finally, the PMO worked wi</w:t>
      </w:r>
      <w:r w:rsidR="00782D60" w:rsidRPr="005B1BF3">
        <w:rPr>
          <w:sz w:val="24"/>
          <w:szCs w:val="24"/>
        </w:rPr>
        <w:t>th Sasaki to modify their Crowd Gage on-</w:t>
      </w:r>
      <w:r w:rsidRPr="005B1BF3">
        <w:rPr>
          <w:sz w:val="24"/>
          <w:szCs w:val="24"/>
        </w:rPr>
        <w:t xml:space="preserve">line planning game. Customizing it Northeast Ohio, </w:t>
      </w:r>
      <w:r w:rsidRPr="005B1BF3">
        <w:rPr>
          <w:b/>
          <w:sz w:val="24"/>
          <w:szCs w:val="24"/>
        </w:rPr>
        <w:t>“Imagine MyNEO”</w:t>
      </w:r>
      <w:r w:rsidRPr="005B1BF3">
        <w:rPr>
          <w:sz w:val="24"/>
          <w:szCs w:val="24"/>
        </w:rPr>
        <w:t xml:space="preserve"> was posted on the Consortium’s website, taken to festivals and public gatherings and used at the Consortium’s second round of public meetings to encourage participation by younger audiences that prefer </w:t>
      </w:r>
      <w:r w:rsidR="00014211" w:rsidRPr="005B1BF3">
        <w:rPr>
          <w:sz w:val="24"/>
          <w:szCs w:val="24"/>
        </w:rPr>
        <w:t xml:space="preserve">to engage on line </w:t>
      </w:r>
      <w:r w:rsidRPr="005B1BF3">
        <w:rPr>
          <w:sz w:val="24"/>
          <w:szCs w:val="24"/>
        </w:rPr>
        <w:t xml:space="preserve">rather than </w:t>
      </w:r>
      <w:r w:rsidR="00014211" w:rsidRPr="005B1BF3">
        <w:rPr>
          <w:sz w:val="24"/>
          <w:szCs w:val="24"/>
        </w:rPr>
        <w:t xml:space="preserve">to </w:t>
      </w:r>
      <w:r w:rsidRPr="005B1BF3">
        <w:rPr>
          <w:sz w:val="24"/>
          <w:szCs w:val="24"/>
        </w:rPr>
        <w:t>participat</w:t>
      </w:r>
      <w:r w:rsidR="00014211" w:rsidRPr="005B1BF3">
        <w:rPr>
          <w:sz w:val="24"/>
          <w:szCs w:val="24"/>
        </w:rPr>
        <w:t>e</w:t>
      </w:r>
      <w:r w:rsidRPr="005B1BF3">
        <w:rPr>
          <w:sz w:val="24"/>
          <w:szCs w:val="24"/>
        </w:rPr>
        <w:t xml:space="preserve"> in public meetings. </w:t>
      </w:r>
      <w:r w:rsidR="002A46B2" w:rsidRPr="005B1BF3">
        <w:rPr>
          <w:sz w:val="24"/>
          <w:szCs w:val="24"/>
        </w:rPr>
        <w:t xml:space="preserve"> The PMO also continued to use a range of </w:t>
      </w:r>
      <w:r w:rsidR="002A46B2" w:rsidRPr="005B1BF3">
        <w:rPr>
          <w:b/>
          <w:sz w:val="24"/>
          <w:szCs w:val="24"/>
        </w:rPr>
        <w:t xml:space="preserve">social media engagement tools </w:t>
      </w:r>
      <w:r w:rsidR="002A46B2" w:rsidRPr="005B1BF3">
        <w:rPr>
          <w:sz w:val="24"/>
          <w:szCs w:val="24"/>
        </w:rPr>
        <w:t xml:space="preserve">and evaluate their effectiveness in reaching the targeted audiences.  </w:t>
      </w:r>
    </w:p>
    <w:p w:rsidR="002A46B2" w:rsidRPr="005B1BF3" w:rsidRDefault="00D94D2C" w:rsidP="00663D97">
      <w:pPr>
        <w:rPr>
          <w:sz w:val="24"/>
          <w:szCs w:val="24"/>
        </w:rPr>
      </w:pPr>
      <w:r w:rsidRPr="005B1BF3">
        <w:rPr>
          <w:sz w:val="24"/>
          <w:szCs w:val="24"/>
        </w:rPr>
        <w:t>Following the completion of the Caucus review period in late October, the consultant team</w:t>
      </w:r>
      <w:r w:rsidR="00952FFF">
        <w:rPr>
          <w:sz w:val="24"/>
          <w:szCs w:val="24"/>
        </w:rPr>
        <w:t xml:space="preserve"> and PMO</w:t>
      </w:r>
      <w:r w:rsidRPr="005B1BF3">
        <w:rPr>
          <w:sz w:val="24"/>
          <w:szCs w:val="24"/>
        </w:rPr>
        <w:t xml:space="preserve"> began an intensive, often non-stop writing and editing process.  Members of the PMO and board were asked to write sections of the report addressing their areas of expertise and a small Board/Staff editing committee was convened to review the drafts and suggest edits that would clarify technical points, remove jargon and ambiguity, and employ terms that reflected local usage and commonly-understood terminology.  The PMO and local consultants were asked to supply relevant case study examples drawn from Northeast Ohio communities.  The work of the QCP Workstream was used extensively to develop these cases. </w:t>
      </w:r>
    </w:p>
    <w:p w:rsidR="00D94D2C" w:rsidRPr="005B1BF3" w:rsidRDefault="00D94D2C" w:rsidP="00663D97">
      <w:pPr>
        <w:rPr>
          <w:sz w:val="24"/>
          <w:szCs w:val="24"/>
        </w:rPr>
      </w:pPr>
      <w:r w:rsidRPr="005B1BF3">
        <w:rPr>
          <w:sz w:val="24"/>
          <w:szCs w:val="24"/>
        </w:rPr>
        <w:t>The Recommendations and Initiatives were finalized in December 2013 for review and adoption by the Board in February.  This final review period enabled Board members to brief their own boards, appointing authorities a</w:t>
      </w:r>
      <w:r w:rsidR="00FE0693" w:rsidRPr="005B1BF3">
        <w:rPr>
          <w:sz w:val="24"/>
          <w:szCs w:val="24"/>
        </w:rPr>
        <w:t xml:space="preserve">nd elected officials.  The </w:t>
      </w:r>
      <w:r w:rsidRPr="005B1BF3">
        <w:rPr>
          <w:sz w:val="24"/>
          <w:szCs w:val="24"/>
        </w:rPr>
        <w:t xml:space="preserve">Executive Director and PMO staff presented the </w:t>
      </w:r>
      <w:r w:rsidRPr="00952FFF">
        <w:rPr>
          <w:i/>
          <w:sz w:val="24"/>
          <w:szCs w:val="24"/>
        </w:rPr>
        <w:t>VibrantNEO</w:t>
      </w:r>
      <w:r w:rsidR="00952FFF">
        <w:rPr>
          <w:sz w:val="24"/>
          <w:szCs w:val="24"/>
        </w:rPr>
        <w:t xml:space="preserve">2040 </w:t>
      </w:r>
      <w:r w:rsidRPr="005B1BF3">
        <w:rPr>
          <w:sz w:val="24"/>
          <w:szCs w:val="24"/>
        </w:rPr>
        <w:t>Recommendations and Initiatives to the five intergovernmental organizations as well as to elected and</w:t>
      </w:r>
      <w:r w:rsidR="00FE0693" w:rsidRPr="005B1BF3">
        <w:rPr>
          <w:sz w:val="24"/>
          <w:szCs w:val="24"/>
        </w:rPr>
        <w:t xml:space="preserve"> appointed officials throughout the region. </w:t>
      </w:r>
    </w:p>
    <w:p w:rsidR="00856A2B" w:rsidRPr="00856A2B" w:rsidRDefault="00DF0AFF" w:rsidP="00856A2B">
      <w:pPr>
        <w:rPr>
          <w:sz w:val="32"/>
          <w:szCs w:val="32"/>
        </w:rPr>
      </w:pPr>
      <w:r w:rsidRPr="005B1BF3">
        <w:rPr>
          <w:sz w:val="24"/>
          <w:szCs w:val="24"/>
        </w:rPr>
        <w:t xml:space="preserve">Administratively, the PMO received the requested 6-month extension, enabling the Consortium to complete its review and adoption of </w:t>
      </w:r>
      <w:r w:rsidRPr="00952FFF">
        <w:rPr>
          <w:i/>
          <w:sz w:val="24"/>
          <w:szCs w:val="24"/>
        </w:rPr>
        <w:t>VibrantNEO 2040</w:t>
      </w:r>
      <w:r w:rsidRPr="005B1BF3">
        <w:rPr>
          <w:sz w:val="24"/>
          <w:szCs w:val="24"/>
        </w:rPr>
        <w:t>, for the consultant team and PMO to complete document production, and for the PMO and NOACA to close out the Sustainable Communities grant.</w:t>
      </w:r>
      <w:r w:rsidR="00952FFF">
        <w:rPr>
          <w:sz w:val="24"/>
          <w:szCs w:val="24"/>
        </w:rPr>
        <w:t xml:space="preserve"> </w:t>
      </w:r>
      <w:r w:rsidR="0082607B">
        <w:rPr>
          <w:sz w:val="24"/>
          <w:szCs w:val="24"/>
        </w:rPr>
        <w:t xml:space="preserve">Consortium members, in the aggregate, provided 153% of the required local match.  </w:t>
      </w:r>
    </w:p>
    <w:p w:rsidR="0082607B" w:rsidRDefault="0082607B" w:rsidP="00856A2B">
      <w:pPr>
        <w:rPr>
          <w:b/>
          <w:sz w:val="32"/>
          <w:szCs w:val="32"/>
        </w:rPr>
      </w:pPr>
    </w:p>
    <w:p w:rsidR="00DF0AFF" w:rsidRPr="005B1BF3" w:rsidRDefault="00AD517F" w:rsidP="00856A2B">
      <w:pPr>
        <w:rPr>
          <w:b/>
          <w:sz w:val="32"/>
          <w:szCs w:val="32"/>
        </w:rPr>
      </w:pPr>
      <w:r w:rsidRPr="005B1BF3">
        <w:rPr>
          <w:b/>
          <w:sz w:val="32"/>
          <w:szCs w:val="32"/>
        </w:rPr>
        <w:t xml:space="preserve">Year 3.5/ 2014: </w:t>
      </w:r>
      <w:r w:rsidR="00DF0AFF" w:rsidRPr="005B1BF3">
        <w:rPr>
          <w:b/>
          <w:sz w:val="32"/>
          <w:szCs w:val="32"/>
        </w:rPr>
        <w:t xml:space="preserve">Adoption, Document Production, </w:t>
      </w:r>
      <w:r w:rsidR="00856A2B">
        <w:rPr>
          <w:b/>
          <w:sz w:val="32"/>
          <w:szCs w:val="32"/>
        </w:rPr>
        <w:t xml:space="preserve">and </w:t>
      </w:r>
      <w:r w:rsidR="00DF0AFF" w:rsidRPr="005B1BF3">
        <w:rPr>
          <w:b/>
          <w:sz w:val="32"/>
          <w:szCs w:val="32"/>
        </w:rPr>
        <w:t xml:space="preserve">Grant Close-Out </w:t>
      </w:r>
    </w:p>
    <w:p w:rsidR="00071468" w:rsidRPr="005B1BF3" w:rsidRDefault="00071468" w:rsidP="00AD517F">
      <w:pPr>
        <w:spacing w:after="0"/>
        <w:jc w:val="center"/>
        <w:rPr>
          <w:b/>
          <w:sz w:val="32"/>
          <w:szCs w:val="32"/>
        </w:rPr>
      </w:pPr>
    </w:p>
    <w:p w:rsidR="00AD517F" w:rsidRPr="005B1BF3" w:rsidRDefault="00AD517F" w:rsidP="00663D97">
      <w:pPr>
        <w:rPr>
          <w:sz w:val="24"/>
          <w:szCs w:val="24"/>
        </w:rPr>
      </w:pPr>
      <w:r w:rsidRPr="005B1BF3">
        <w:rPr>
          <w:sz w:val="24"/>
          <w:szCs w:val="24"/>
        </w:rPr>
        <w:t xml:space="preserve">Year 3.5 was the 6-month period from January to June, 2014, when the Consortium completed its regional planning effort and began the process of transitioning to “NEOSCC 2.0,” an organization convened to act upon the recommendations made in </w:t>
      </w:r>
      <w:r w:rsidRPr="005B1BF3">
        <w:rPr>
          <w:i/>
          <w:sz w:val="24"/>
          <w:szCs w:val="24"/>
        </w:rPr>
        <w:t>VibrantNEO 2040.</w:t>
      </w:r>
      <w:r w:rsidRPr="005B1BF3">
        <w:rPr>
          <w:sz w:val="24"/>
          <w:szCs w:val="24"/>
        </w:rPr>
        <w:t xml:space="preserve"> As the federal grant period came to an end, the PMO staff was demobilized, the Akron office was closed, and the office furniture returned to the City of Youngstown. The Executive Director remained with the organization during the 90-day closeout period and</w:t>
      </w:r>
      <w:r w:rsidR="0082607B">
        <w:rPr>
          <w:sz w:val="24"/>
          <w:szCs w:val="24"/>
        </w:rPr>
        <w:t xml:space="preserve">, utilizing local, </w:t>
      </w:r>
      <w:r w:rsidR="00D605B1" w:rsidRPr="005B1BF3">
        <w:rPr>
          <w:sz w:val="24"/>
          <w:szCs w:val="24"/>
        </w:rPr>
        <w:t xml:space="preserve">non-Federal funds, </w:t>
      </w:r>
      <w:r w:rsidRPr="005B1BF3">
        <w:rPr>
          <w:sz w:val="24"/>
          <w:szCs w:val="24"/>
        </w:rPr>
        <w:t xml:space="preserve">worked with NOACA staff to complete necessary HUD reports and with the Board to plan the next phase of the organization’s life. </w:t>
      </w:r>
    </w:p>
    <w:p w:rsidR="00952FFF" w:rsidRDefault="00952FFF" w:rsidP="00D605B1">
      <w:pPr>
        <w:jc w:val="center"/>
        <w:rPr>
          <w:b/>
          <w:sz w:val="24"/>
          <w:szCs w:val="24"/>
        </w:rPr>
      </w:pPr>
    </w:p>
    <w:p w:rsidR="00D605B1" w:rsidRPr="005B1BF3" w:rsidRDefault="00D605B1" w:rsidP="00D605B1">
      <w:pPr>
        <w:jc w:val="center"/>
        <w:rPr>
          <w:b/>
          <w:sz w:val="24"/>
          <w:szCs w:val="24"/>
        </w:rPr>
      </w:pPr>
      <w:r w:rsidRPr="005B1BF3">
        <w:rPr>
          <w:b/>
          <w:sz w:val="24"/>
          <w:szCs w:val="24"/>
        </w:rPr>
        <w:t>First Half, 2014</w:t>
      </w:r>
    </w:p>
    <w:p w:rsidR="00FE0693" w:rsidRPr="005B1BF3" w:rsidRDefault="00FE0693" w:rsidP="00663D97">
      <w:pPr>
        <w:rPr>
          <w:sz w:val="24"/>
          <w:szCs w:val="24"/>
        </w:rPr>
      </w:pPr>
      <w:r w:rsidRPr="005B1BF3">
        <w:rPr>
          <w:sz w:val="24"/>
          <w:szCs w:val="24"/>
        </w:rPr>
        <w:t xml:space="preserve">The </w:t>
      </w:r>
      <w:r w:rsidR="00D605B1" w:rsidRPr="005B1BF3">
        <w:rPr>
          <w:i/>
          <w:sz w:val="24"/>
          <w:szCs w:val="24"/>
        </w:rPr>
        <w:t>VibrantNEO 2040</w:t>
      </w:r>
      <w:r w:rsidR="00D605B1" w:rsidRPr="005B1BF3">
        <w:rPr>
          <w:sz w:val="24"/>
          <w:szCs w:val="24"/>
        </w:rPr>
        <w:t xml:space="preserve"> </w:t>
      </w:r>
      <w:r w:rsidRPr="005B1BF3">
        <w:rPr>
          <w:sz w:val="24"/>
          <w:szCs w:val="24"/>
        </w:rPr>
        <w:t xml:space="preserve">Recommendations and Initiatives were finalized and adopted by the NEOSCC Board at its February meeting by a unanimous vote with one abstention: Due to adverse weather, the PMO staff was unable to brief the SCATS board in time for them to take action. (The organization prefers to hear and act on non-emergency matters over two successive meetings.) </w:t>
      </w:r>
    </w:p>
    <w:p w:rsidR="00CE1C41" w:rsidRPr="005B1BF3" w:rsidRDefault="00FE0693" w:rsidP="00663D97">
      <w:pPr>
        <w:rPr>
          <w:sz w:val="24"/>
          <w:szCs w:val="24"/>
        </w:rPr>
      </w:pPr>
      <w:r w:rsidRPr="005B1BF3">
        <w:rPr>
          <w:sz w:val="24"/>
          <w:szCs w:val="24"/>
        </w:rPr>
        <w:t>Following the adoption of the Recommendations and Initiatives, the consultant team and PMO comple</w:t>
      </w:r>
      <w:r w:rsidR="00952FFF">
        <w:rPr>
          <w:sz w:val="24"/>
          <w:szCs w:val="24"/>
        </w:rPr>
        <w:t>ted production of the final 219-</w:t>
      </w:r>
      <w:r w:rsidRPr="005B1BF3">
        <w:rPr>
          <w:sz w:val="24"/>
          <w:szCs w:val="24"/>
        </w:rPr>
        <w:t xml:space="preserve">page </w:t>
      </w:r>
      <w:r w:rsidR="00952FFF" w:rsidRPr="00952FFF">
        <w:rPr>
          <w:b/>
          <w:i/>
          <w:sz w:val="24"/>
          <w:szCs w:val="24"/>
        </w:rPr>
        <w:t>VibrantNEO 2040</w:t>
      </w:r>
      <w:r w:rsidR="00952FFF">
        <w:rPr>
          <w:sz w:val="24"/>
          <w:szCs w:val="24"/>
        </w:rPr>
        <w:t xml:space="preserve"> </w:t>
      </w:r>
      <w:r w:rsidRPr="005B1BF3">
        <w:rPr>
          <w:b/>
          <w:i/>
          <w:sz w:val="24"/>
          <w:szCs w:val="24"/>
        </w:rPr>
        <w:t xml:space="preserve">Vision, Framework and Action Product </w:t>
      </w:r>
      <w:r w:rsidRPr="005B1BF3">
        <w:rPr>
          <w:sz w:val="24"/>
          <w:szCs w:val="24"/>
        </w:rPr>
        <w:t xml:space="preserve">as well as an </w:t>
      </w:r>
      <w:r w:rsidRPr="005B1BF3">
        <w:rPr>
          <w:b/>
          <w:sz w:val="24"/>
          <w:szCs w:val="24"/>
        </w:rPr>
        <w:t xml:space="preserve">Executive Summary, </w:t>
      </w:r>
      <w:r w:rsidRPr="005B1BF3">
        <w:rPr>
          <w:sz w:val="24"/>
          <w:szCs w:val="24"/>
        </w:rPr>
        <w:t xml:space="preserve">11x17 two-sided </w:t>
      </w:r>
      <w:r w:rsidRPr="005B1BF3">
        <w:rPr>
          <w:b/>
          <w:sz w:val="24"/>
          <w:szCs w:val="24"/>
        </w:rPr>
        <w:t xml:space="preserve">Poster Plan, </w:t>
      </w:r>
      <w:r w:rsidRPr="005B1BF3">
        <w:rPr>
          <w:sz w:val="24"/>
          <w:szCs w:val="24"/>
        </w:rPr>
        <w:t xml:space="preserve"> </w:t>
      </w:r>
      <w:r w:rsidR="00952FFF">
        <w:rPr>
          <w:sz w:val="24"/>
          <w:szCs w:val="24"/>
        </w:rPr>
        <w:t xml:space="preserve">the </w:t>
      </w:r>
      <w:r w:rsidR="00DF0AFF" w:rsidRPr="005B1BF3">
        <w:rPr>
          <w:sz w:val="24"/>
          <w:szCs w:val="24"/>
        </w:rPr>
        <w:t>final</w:t>
      </w:r>
      <w:r w:rsidR="00DF0AFF" w:rsidRPr="005B1BF3">
        <w:rPr>
          <w:b/>
          <w:sz w:val="24"/>
          <w:szCs w:val="24"/>
        </w:rPr>
        <w:t xml:space="preserve"> </w:t>
      </w:r>
      <w:r w:rsidRPr="005B1BF3">
        <w:rPr>
          <w:b/>
          <w:sz w:val="24"/>
          <w:szCs w:val="24"/>
        </w:rPr>
        <w:t>Video</w:t>
      </w:r>
      <w:r w:rsidR="00952FFF">
        <w:rPr>
          <w:b/>
          <w:sz w:val="24"/>
          <w:szCs w:val="24"/>
        </w:rPr>
        <w:t>,</w:t>
      </w:r>
      <w:r w:rsidR="00DF0AFF" w:rsidRPr="005B1BF3">
        <w:rPr>
          <w:b/>
          <w:sz w:val="24"/>
          <w:szCs w:val="24"/>
        </w:rPr>
        <w:t xml:space="preserve"> PowerPoint</w:t>
      </w:r>
      <w:r w:rsidR="00DF0AFF" w:rsidRPr="005B1BF3">
        <w:rPr>
          <w:sz w:val="24"/>
          <w:szCs w:val="24"/>
        </w:rPr>
        <w:t xml:space="preserve"> and </w:t>
      </w:r>
      <w:r w:rsidR="00DF0AFF" w:rsidRPr="005B1BF3">
        <w:rPr>
          <w:b/>
          <w:sz w:val="24"/>
          <w:szCs w:val="24"/>
        </w:rPr>
        <w:t>meeting handouts</w:t>
      </w:r>
      <w:r w:rsidR="00DF0AFF" w:rsidRPr="005B1BF3">
        <w:rPr>
          <w:sz w:val="24"/>
          <w:szCs w:val="24"/>
        </w:rPr>
        <w:t xml:space="preserve">.  The complete report including the </w:t>
      </w:r>
      <w:r w:rsidR="00DF0AFF" w:rsidRPr="005B1BF3">
        <w:rPr>
          <w:b/>
          <w:sz w:val="24"/>
          <w:szCs w:val="24"/>
        </w:rPr>
        <w:t>Technical Appendix</w:t>
      </w:r>
      <w:r w:rsidR="00DF0AFF" w:rsidRPr="005B1BF3">
        <w:rPr>
          <w:sz w:val="24"/>
          <w:szCs w:val="24"/>
        </w:rPr>
        <w:t xml:space="preserve"> and presentation materials was posted to NEOSCC’s VibrantNEO website.  The Consortium used its Network of Network, as well as press briefings, to get the word out and encourage citizens to go the VibrantNEO website and review the plan. Readers were invited to sign an online petition and become </w:t>
      </w:r>
      <w:r w:rsidR="00DF0AFF" w:rsidRPr="005B1BF3">
        <w:rPr>
          <w:b/>
          <w:sz w:val="24"/>
          <w:szCs w:val="24"/>
        </w:rPr>
        <w:t>VibrantNEO Champions</w:t>
      </w:r>
      <w:r w:rsidR="00DF0AFF" w:rsidRPr="005B1BF3">
        <w:rPr>
          <w:sz w:val="24"/>
          <w:szCs w:val="24"/>
        </w:rPr>
        <w:t xml:space="preserve">. As of September 2014, over 1300 people had become Champions. </w:t>
      </w:r>
    </w:p>
    <w:p w:rsidR="00C913EE" w:rsidRDefault="00D605B1" w:rsidP="00663D97">
      <w:pPr>
        <w:rPr>
          <w:sz w:val="24"/>
          <w:szCs w:val="24"/>
        </w:rPr>
      </w:pPr>
      <w:r w:rsidRPr="005B1BF3">
        <w:rPr>
          <w:sz w:val="24"/>
          <w:szCs w:val="24"/>
        </w:rPr>
        <w:t>The adoption of VibrantNEO 2040 and the production of these documents marked the formal completion of Northeast Ohio Sustainable Communities Consortium Sustainable Communities Regional Planning Grant. The PMO and Board are particularly proud that this challenging project was completed “on time and on budget” (noting the grant term extension) and was adopted by a Board of Directors representing each of the region’s four metropolitan areas. The mere fact that the Consortium came together to apply for a federal grant to undertake a project of such scope and complexity, collaborated extensively and continuously during an often trying 3.5 year planning period, and produced a framework plan based on a careful balance of Objective Facts, Community Values, and Practical Experience bodes well for the future as the Consortium and the Northeast Ohio community it represents moves from Plan to Action</w:t>
      </w:r>
      <w:r w:rsidR="00C913EE">
        <w:rPr>
          <w:sz w:val="24"/>
          <w:szCs w:val="24"/>
        </w:rPr>
        <w:t xml:space="preserve">. </w:t>
      </w:r>
    </w:p>
    <w:p w:rsidR="00D605B1" w:rsidRDefault="00D605B1" w:rsidP="00663D97">
      <w:pPr>
        <w:rPr>
          <w:sz w:val="24"/>
          <w:szCs w:val="24"/>
        </w:rPr>
      </w:pPr>
      <w:r w:rsidRPr="005B1BF3">
        <w:rPr>
          <w:sz w:val="24"/>
          <w:szCs w:val="24"/>
        </w:rPr>
        <w:t xml:space="preserve">In closing we are reminded of the words of two great American planners: </w:t>
      </w:r>
    </w:p>
    <w:p w:rsidR="005B1BF3" w:rsidRPr="005B1BF3" w:rsidRDefault="005B1BF3" w:rsidP="00663D97">
      <w:pPr>
        <w:rPr>
          <w:sz w:val="24"/>
          <w:szCs w:val="24"/>
        </w:rPr>
      </w:pPr>
    </w:p>
    <w:p w:rsidR="00D605B1" w:rsidRPr="005B1BF3" w:rsidRDefault="00D605B1" w:rsidP="005B1BF3">
      <w:pPr>
        <w:shd w:val="clear" w:color="auto" w:fill="FFFFFF"/>
        <w:spacing w:after="0" w:line="300" w:lineRule="atLeast"/>
        <w:ind w:left="720"/>
        <w:rPr>
          <w:rFonts w:eastAsia="Times New Roman" w:cs="Times New Roman"/>
          <w:b/>
          <w:color w:val="000000"/>
          <w:sz w:val="24"/>
          <w:szCs w:val="24"/>
          <w:lang w:val="en"/>
        </w:rPr>
      </w:pPr>
      <w:r w:rsidRPr="005B1BF3">
        <w:rPr>
          <w:rFonts w:eastAsia="Times New Roman" w:cs="Times New Roman"/>
          <w:b/>
          <w:color w:val="000000"/>
          <w:sz w:val="24"/>
          <w:szCs w:val="24"/>
          <w:lang w:val="en"/>
        </w:rPr>
        <w:t xml:space="preserve">In preparing for battle I have always found that plans are useless, but planning is </w:t>
      </w:r>
      <w:r w:rsidR="005B1BF3">
        <w:rPr>
          <w:rFonts w:eastAsia="Times New Roman" w:cs="Times New Roman"/>
          <w:b/>
          <w:color w:val="000000"/>
          <w:sz w:val="24"/>
          <w:szCs w:val="24"/>
          <w:lang w:val="en"/>
        </w:rPr>
        <w:t xml:space="preserve">   </w:t>
      </w:r>
      <w:r w:rsidRPr="005B1BF3">
        <w:rPr>
          <w:rFonts w:eastAsia="Times New Roman" w:cs="Times New Roman"/>
          <w:b/>
          <w:color w:val="000000"/>
          <w:sz w:val="24"/>
          <w:szCs w:val="24"/>
          <w:lang w:val="en"/>
        </w:rPr>
        <w:t>indispensable.</w:t>
      </w:r>
    </w:p>
    <w:p w:rsidR="00D605B1" w:rsidRPr="005B1BF3" w:rsidRDefault="00D605B1" w:rsidP="00D605B1">
      <w:pPr>
        <w:shd w:val="clear" w:color="auto" w:fill="FFFFFF"/>
        <w:spacing w:after="150" w:line="300" w:lineRule="atLeast"/>
        <w:jc w:val="right"/>
        <w:rPr>
          <w:rFonts w:eastAsia="Times New Roman" w:cs="Times New Roman"/>
          <w:color w:val="000000"/>
          <w:sz w:val="24"/>
          <w:szCs w:val="24"/>
          <w:lang w:val="en"/>
        </w:rPr>
      </w:pPr>
      <w:r w:rsidRPr="005B1BF3">
        <w:rPr>
          <w:rFonts w:eastAsia="Times New Roman" w:cs="Times New Roman"/>
          <w:color w:val="000000"/>
          <w:sz w:val="24"/>
          <w:szCs w:val="24"/>
          <w:lang w:val="en"/>
        </w:rPr>
        <w:t>Dwight D. Eisenhower</w:t>
      </w:r>
    </w:p>
    <w:p w:rsidR="005B1BF3" w:rsidRDefault="005B1BF3" w:rsidP="005B1BF3">
      <w:pPr>
        <w:shd w:val="clear" w:color="auto" w:fill="FFFFFF"/>
        <w:spacing w:after="150" w:line="300" w:lineRule="atLeast"/>
        <w:ind w:left="720"/>
        <w:rPr>
          <w:b/>
          <w:sz w:val="24"/>
          <w:szCs w:val="24"/>
        </w:rPr>
      </w:pPr>
    </w:p>
    <w:p w:rsidR="00D605B1" w:rsidRPr="005B1BF3" w:rsidRDefault="00071468" w:rsidP="005B1BF3">
      <w:pPr>
        <w:shd w:val="clear" w:color="auto" w:fill="FFFFFF"/>
        <w:spacing w:after="0" w:line="300" w:lineRule="atLeast"/>
        <w:ind w:left="720"/>
        <w:rPr>
          <w:b/>
          <w:sz w:val="24"/>
          <w:szCs w:val="24"/>
        </w:rPr>
      </w:pPr>
      <w:r w:rsidRPr="005B1BF3">
        <w:rPr>
          <w:b/>
          <w:sz w:val="24"/>
          <w:szCs w:val="24"/>
        </w:rPr>
        <w:t>Make big plans; aim high in hope and work, remembering that a noble, logical diagram once recorded will never die, but long after we are gone will be a living thing, asserting itself with ever-growing insistency</w:t>
      </w:r>
      <w:r w:rsidR="005B1BF3">
        <w:rPr>
          <w:b/>
          <w:sz w:val="24"/>
          <w:szCs w:val="24"/>
        </w:rPr>
        <w:t>.</w:t>
      </w:r>
    </w:p>
    <w:p w:rsidR="00D7592E" w:rsidRPr="005B1BF3" w:rsidRDefault="00071468" w:rsidP="00071468">
      <w:pPr>
        <w:shd w:val="clear" w:color="auto" w:fill="FFFFFF"/>
        <w:spacing w:after="150" w:line="300" w:lineRule="atLeast"/>
        <w:jc w:val="right"/>
        <w:rPr>
          <w:sz w:val="24"/>
          <w:szCs w:val="24"/>
          <w:u w:val="double"/>
        </w:rPr>
      </w:pPr>
      <w:r w:rsidRPr="005B1BF3">
        <w:rPr>
          <w:rFonts w:ascii="Helvetica" w:eastAsia="Times New Roman" w:hAnsi="Helvetica" w:cs="Times New Roman"/>
          <w:color w:val="000000"/>
          <w:sz w:val="24"/>
          <w:szCs w:val="24"/>
          <w:lang w:val="en"/>
        </w:rPr>
        <w:t xml:space="preserve">Daniel H. Burnham </w:t>
      </w:r>
    </w:p>
    <w:sectPr w:rsidR="00D7592E" w:rsidRPr="005B1BF3" w:rsidSect="00FA29E1">
      <w:footerReference w:type="default" r:id="rId9"/>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1C6" w:rsidRDefault="00FF41C6" w:rsidP="007C62D0">
      <w:pPr>
        <w:spacing w:after="0" w:line="240" w:lineRule="auto"/>
      </w:pPr>
      <w:r>
        <w:separator/>
      </w:r>
    </w:p>
  </w:endnote>
  <w:endnote w:type="continuationSeparator" w:id="0">
    <w:p w:rsidR="00FF41C6" w:rsidRDefault="00FF41C6" w:rsidP="007C6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672724"/>
      <w:docPartObj>
        <w:docPartGallery w:val="Page Numbers (Bottom of Page)"/>
        <w:docPartUnique/>
      </w:docPartObj>
    </w:sdtPr>
    <w:sdtEndPr>
      <w:rPr>
        <w:noProof/>
      </w:rPr>
    </w:sdtEndPr>
    <w:sdtContent>
      <w:p w:rsidR="00CE1C41" w:rsidRDefault="00CE1C41">
        <w:pPr>
          <w:pStyle w:val="Footer"/>
          <w:jc w:val="center"/>
        </w:pPr>
        <w:r>
          <w:fldChar w:fldCharType="begin"/>
        </w:r>
        <w:r>
          <w:instrText xml:space="preserve"> PAGE   \* MERGEFORMAT </w:instrText>
        </w:r>
        <w:r>
          <w:fldChar w:fldCharType="separate"/>
        </w:r>
        <w:r w:rsidR="007542BB">
          <w:rPr>
            <w:noProof/>
          </w:rPr>
          <w:t>14</w:t>
        </w:r>
        <w:r>
          <w:rPr>
            <w:noProof/>
          </w:rPr>
          <w:fldChar w:fldCharType="end"/>
        </w:r>
      </w:p>
    </w:sdtContent>
  </w:sdt>
  <w:p w:rsidR="00CE1C41" w:rsidRDefault="00CE1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1C6" w:rsidRDefault="00FF41C6" w:rsidP="007C62D0">
      <w:pPr>
        <w:spacing w:after="0" w:line="240" w:lineRule="auto"/>
      </w:pPr>
      <w:r>
        <w:separator/>
      </w:r>
    </w:p>
  </w:footnote>
  <w:footnote w:type="continuationSeparator" w:id="0">
    <w:p w:rsidR="00FF41C6" w:rsidRDefault="00FF41C6" w:rsidP="007C62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34223"/>
    <w:multiLevelType w:val="hybridMultilevel"/>
    <w:tmpl w:val="E56A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608"/>
    <w:rsid w:val="00011D84"/>
    <w:rsid w:val="00014211"/>
    <w:rsid w:val="00030545"/>
    <w:rsid w:val="00071468"/>
    <w:rsid w:val="000B062F"/>
    <w:rsid w:val="00152125"/>
    <w:rsid w:val="00190E70"/>
    <w:rsid w:val="001C1B7E"/>
    <w:rsid w:val="001D1FFC"/>
    <w:rsid w:val="001F5358"/>
    <w:rsid w:val="00242DF0"/>
    <w:rsid w:val="00283727"/>
    <w:rsid w:val="002A46B2"/>
    <w:rsid w:val="003103F7"/>
    <w:rsid w:val="00382AD4"/>
    <w:rsid w:val="003C4AE0"/>
    <w:rsid w:val="00477888"/>
    <w:rsid w:val="004B31C9"/>
    <w:rsid w:val="004C0A68"/>
    <w:rsid w:val="0050728B"/>
    <w:rsid w:val="005547C0"/>
    <w:rsid w:val="00573429"/>
    <w:rsid w:val="00583771"/>
    <w:rsid w:val="005B1BF3"/>
    <w:rsid w:val="005C3A50"/>
    <w:rsid w:val="005C7FE9"/>
    <w:rsid w:val="00663D97"/>
    <w:rsid w:val="006A752A"/>
    <w:rsid w:val="006E25D3"/>
    <w:rsid w:val="0070294D"/>
    <w:rsid w:val="00726603"/>
    <w:rsid w:val="00736608"/>
    <w:rsid w:val="007542BB"/>
    <w:rsid w:val="00782734"/>
    <w:rsid w:val="00782D60"/>
    <w:rsid w:val="007C62D0"/>
    <w:rsid w:val="007D1D91"/>
    <w:rsid w:val="007E4D0A"/>
    <w:rsid w:val="008233E5"/>
    <w:rsid w:val="0082607B"/>
    <w:rsid w:val="00856A2B"/>
    <w:rsid w:val="008B0D19"/>
    <w:rsid w:val="00933D57"/>
    <w:rsid w:val="00947662"/>
    <w:rsid w:val="00952FFF"/>
    <w:rsid w:val="00961323"/>
    <w:rsid w:val="0098627C"/>
    <w:rsid w:val="00990784"/>
    <w:rsid w:val="009A2161"/>
    <w:rsid w:val="009C0AAF"/>
    <w:rsid w:val="009C6FDE"/>
    <w:rsid w:val="00A77073"/>
    <w:rsid w:val="00AD517F"/>
    <w:rsid w:val="00AF1F40"/>
    <w:rsid w:val="00B15FBA"/>
    <w:rsid w:val="00B23BD5"/>
    <w:rsid w:val="00B764AF"/>
    <w:rsid w:val="00BD23EF"/>
    <w:rsid w:val="00C913EE"/>
    <w:rsid w:val="00C97ACF"/>
    <w:rsid w:val="00CB2B68"/>
    <w:rsid w:val="00CE1C41"/>
    <w:rsid w:val="00D605B1"/>
    <w:rsid w:val="00D7592E"/>
    <w:rsid w:val="00D94D2C"/>
    <w:rsid w:val="00DA07AF"/>
    <w:rsid w:val="00DF0099"/>
    <w:rsid w:val="00DF0AFF"/>
    <w:rsid w:val="00F22756"/>
    <w:rsid w:val="00F252AA"/>
    <w:rsid w:val="00F4056B"/>
    <w:rsid w:val="00F540A2"/>
    <w:rsid w:val="00F541E9"/>
    <w:rsid w:val="00FA29E1"/>
    <w:rsid w:val="00FB7A03"/>
    <w:rsid w:val="00FE0693"/>
    <w:rsid w:val="00FE3076"/>
    <w:rsid w:val="00FF4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AAF"/>
    <w:pPr>
      <w:ind w:left="720"/>
      <w:contextualSpacing/>
    </w:pPr>
  </w:style>
  <w:style w:type="paragraph" w:styleId="Header">
    <w:name w:val="header"/>
    <w:basedOn w:val="Normal"/>
    <w:link w:val="HeaderChar"/>
    <w:uiPriority w:val="99"/>
    <w:unhideWhenUsed/>
    <w:rsid w:val="007C62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2D0"/>
  </w:style>
  <w:style w:type="paragraph" w:styleId="Footer">
    <w:name w:val="footer"/>
    <w:basedOn w:val="Normal"/>
    <w:link w:val="FooterChar"/>
    <w:uiPriority w:val="99"/>
    <w:unhideWhenUsed/>
    <w:rsid w:val="007C62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2D0"/>
  </w:style>
  <w:style w:type="character" w:styleId="Hyperlink">
    <w:name w:val="Hyperlink"/>
    <w:basedOn w:val="DefaultParagraphFont"/>
    <w:uiPriority w:val="99"/>
    <w:semiHidden/>
    <w:unhideWhenUsed/>
    <w:rsid w:val="00D605B1"/>
    <w:rPr>
      <w:strike w:val="0"/>
      <w:dstrike w:val="0"/>
      <w:color w:val="0000AA"/>
      <w:u w:val="none"/>
      <w:effect w:val="none"/>
    </w:rPr>
  </w:style>
  <w:style w:type="paragraph" w:styleId="NormalWeb">
    <w:name w:val="Normal (Web)"/>
    <w:basedOn w:val="Normal"/>
    <w:uiPriority w:val="99"/>
    <w:semiHidden/>
    <w:unhideWhenUsed/>
    <w:rsid w:val="00D605B1"/>
    <w:pPr>
      <w:spacing w:after="150" w:line="240" w:lineRule="auto"/>
    </w:pPr>
    <w:rPr>
      <w:rFonts w:ascii="Times New Roman" w:eastAsia="Times New Roman" w:hAnsi="Times New Roman" w:cs="Times New Roman"/>
      <w:sz w:val="24"/>
      <w:szCs w:val="24"/>
    </w:rPr>
  </w:style>
  <w:style w:type="paragraph" w:customStyle="1" w:styleId="bqfqa">
    <w:name w:val="bq_fq_a"/>
    <w:basedOn w:val="Normal"/>
    <w:rsid w:val="00D605B1"/>
    <w:pPr>
      <w:spacing w:after="15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23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3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AAF"/>
    <w:pPr>
      <w:ind w:left="720"/>
      <w:contextualSpacing/>
    </w:pPr>
  </w:style>
  <w:style w:type="paragraph" w:styleId="Header">
    <w:name w:val="header"/>
    <w:basedOn w:val="Normal"/>
    <w:link w:val="HeaderChar"/>
    <w:uiPriority w:val="99"/>
    <w:unhideWhenUsed/>
    <w:rsid w:val="007C62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2D0"/>
  </w:style>
  <w:style w:type="paragraph" w:styleId="Footer">
    <w:name w:val="footer"/>
    <w:basedOn w:val="Normal"/>
    <w:link w:val="FooterChar"/>
    <w:uiPriority w:val="99"/>
    <w:unhideWhenUsed/>
    <w:rsid w:val="007C62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2D0"/>
  </w:style>
  <w:style w:type="character" w:styleId="Hyperlink">
    <w:name w:val="Hyperlink"/>
    <w:basedOn w:val="DefaultParagraphFont"/>
    <w:uiPriority w:val="99"/>
    <w:semiHidden/>
    <w:unhideWhenUsed/>
    <w:rsid w:val="00D605B1"/>
    <w:rPr>
      <w:strike w:val="0"/>
      <w:dstrike w:val="0"/>
      <w:color w:val="0000AA"/>
      <w:u w:val="none"/>
      <w:effect w:val="none"/>
    </w:rPr>
  </w:style>
  <w:style w:type="paragraph" w:styleId="NormalWeb">
    <w:name w:val="Normal (Web)"/>
    <w:basedOn w:val="Normal"/>
    <w:uiPriority w:val="99"/>
    <w:semiHidden/>
    <w:unhideWhenUsed/>
    <w:rsid w:val="00D605B1"/>
    <w:pPr>
      <w:spacing w:after="150" w:line="240" w:lineRule="auto"/>
    </w:pPr>
    <w:rPr>
      <w:rFonts w:ascii="Times New Roman" w:eastAsia="Times New Roman" w:hAnsi="Times New Roman" w:cs="Times New Roman"/>
      <w:sz w:val="24"/>
      <w:szCs w:val="24"/>
    </w:rPr>
  </w:style>
  <w:style w:type="paragraph" w:customStyle="1" w:styleId="bqfqa">
    <w:name w:val="bq_fq_a"/>
    <w:basedOn w:val="Normal"/>
    <w:rsid w:val="00D605B1"/>
    <w:pPr>
      <w:spacing w:after="15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23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3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8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EDA45-36DE-4ACB-B258-217B6478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5837</Words>
  <Characters>33275</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HMorrison</dc:creator>
  <cp:lastModifiedBy>Cheryl Kurkowski</cp:lastModifiedBy>
  <cp:revision>2</cp:revision>
  <cp:lastPrinted>2014-09-25T15:24:00Z</cp:lastPrinted>
  <dcterms:created xsi:type="dcterms:W3CDTF">2014-09-25T17:09:00Z</dcterms:created>
  <dcterms:modified xsi:type="dcterms:W3CDTF">2014-09-25T17:09:00Z</dcterms:modified>
</cp:coreProperties>
</file>